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FOR IMMEDIATE RELEASE</w:t>
      </w:r>
    </w:p>
    <w:p>
      <w:pPr>
        <w:pStyle w:val="Heading1"/>
        <w:spacing w:beforeAutospacing="0" w:before="0" w:afterAutospacing="0" w:after="0"/>
        <w:jc w:val="center"/>
        <w:rPr>
          <w:rFonts w:ascii="Times New Roman" w:hAnsi="Times New Roman" w:cs="Times New Roman"/>
        </w:rPr>
      </w:pPr>
      <w:r>
        <w:rPr>
          <w:rFonts w:cs="Times New Roman" w:ascii="Times New Roman" w:hAnsi="Times New Roman"/>
        </w:rPr>
        <w:t>FSP kündigt das neue 2-in-1 High-End PC-Gehäuse T-WINGS an</w:t>
      </w:r>
    </w:p>
    <w:p>
      <w:pPr>
        <w:pStyle w:val="Heading2"/>
        <w:spacing w:before="49" w:after="49"/>
        <w:jc w:val="center"/>
        <w:rPr>
          <w:rFonts w:ascii="Times New Roman" w:hAnsi="Times New Roman" w:cs="Times New Roman"/>
          <w:i/>
          <w:i/>
          <w:iCs/>
        </w:rPr>
      </w:pPr>
      <w:r>
        <w:rPr>
          <w:rFonts w:cs="Times New Roman" w:ascii="Times New Roman" w:hAnsi="Times New Roman"/>
          <w:i/>
          <w:iCs/>
        </w:rPr>
        <w:t>Kombination von E-ATX und Mini-ITX Systemen in einem einzigen, stilvoll gestalteten Designer-Gehäuse</w:t>
      </w:r>
    </w:p>
    <w:p>
      <w:pPr>
        <w:pStyle w:val="Normal"/>
        <w:spacing w:before="0" w:after="240"/>
        <w:rPr>
          <w:rFonts w:ascii="Times New Roman" w:hAnsi="Times New Roman" w:cs="Times New Roman"/>
        </w:rPr>
      </w:pPr>
      <w:r>
        <w:rPr>
          <w:rFonts w:cs="Times New Roman" w:ascii="Times New Roman" w:hAnsi="Times New Roman"/>
          <w:b/>
          <w:bCs/>
          <w:i/>
          <w:iCs/>
        </w:rPr>
        <w:t xml:space="preserve">Taipei, Taiwan, 3. März 2020 - </w:t>
      </w:r>
      <w:r>
        <w:rPr>
          <w:rFonts w:cs="Times New Roman" w:ascii="Times New Roman" w:hAnsi="Times New Roman"/>
        </w:rPr>
        <w:t>FSP, weltweit führende Hersteller von PC-Netzteilen, freut sich, sein neues, stilvolles und innovatives PC-Gehäuse „T-WINGS“ (CMT710) vorzustellen. Das neue T-WINGS bietet Anwendern die Möglichkeit, zwei High-End PC-Systeme in einem einzigen Gehäuse zu kombinieren.</w:t>
      </w:r>
    </w:p>
    <w:p>
      <w:pPr>
        <w:pStyle w:val="Heading3"/>
        <w:spacing w:beforeAutospacing="0" w:before="0" w:afterAutospacing="0" w:after="0"/>
        <w:rPr>
          <w:rFonts w:ascii="Times New Roman" w:hAnsi="Times New Roman" w:cs="Times New Roman"/>
        </w:rPr>
      </w:pPr>
      <w:r>
        <w:rPr>
          <w:rFonts w:cs="Times New Roman" w:ascii="Times New Roman" w:hAnsi="Times New Roman"/>
        </w:rPr>
        <w:t>Zwei PC-Systeme in einem einzigen Gehäuse</w:t>
      </w:r>
    </w:p>
    <w:p>
      <w:pPr>
        <w:pStyle w:val="Normal"/>
        <w:spacing w:before="0" w:after="240"/>
        <w:rPr>
          <w:rFonts w:ascii="Times New Roman" w:hAnsi="Times New Roman" w:cs="Times New Roman"/>
        </w:rPr>
      </w:pPr>
      <w:r>
        <w:rPr>
          <w:rFonts w:cs="Times New Roman" w:ascii="Times New Roman" w:hAnsi="Times New Roman"/>
        </w:rPr>
        <w:t>Durch die Unterbringung von zwei High-End-Systemen in einem einzigen Gehäuse spart das T-WINGS seinen Anwendern Platz zu Hause oder im Büro und die Produktivität kann damit erheblich gesteigert werden. Das Hauptsystem unterstützt ein Motherboard bis zur EATX-Größe für extreme Gaming-Systeme und HEDT-Workstations, während das Subsystem Mini-ITX Motherboards unterstützt, die eine breite Palette von Funktionen bieten. Zu den Vorteilen dieses Designs gehört das gleichzeitige Betreiben von zwei Systemen, wodurch Verzögerungen oder übermäßigen Lasten, die zu Systemabstürzen führen können, vermieden werden. Content-Entwickler und Video-Streamer profitieren von diesem Setup, mit dem sie ohne Unterbrechungen aufzeichnen, den Status ihrer Aufzeichnungen kontinuierlich überwachen sowie steuern und gleichzeitig problemlos mit ihren Fans interagieren können.</w:t>
      </w:r>
    </w:p>
    <w:p>
      <w:pPr>
        <w:pStyle w:val="Heading3"/>
        <w:spacing w:beforeAutospacing="0" w:before="0" w:afterAutospacing="0" w:after="0"/>
        <w:rPr>
          <w:rFonts w:ascii="Times New Roman" w:hAnsi="Times New Roman" w:cs="Times New Roman"/>
        </w:rPr>
      </w:pPr>
      <w:r>
        <w:rPr>
          <w:rFonts w:cs="Times New Roman" w:ascii="Times New Roman" w:hAnsi="Times New Roman"/>
        </w:rPr>
        <w:t>Neues stilvolles Design mit atemberaubenden 360-Grad-Ansichten</w:t>
      </w:r>
    </w:p>
    <w:p>
      <w:pPr>
        <w:pStyle w:val="Normal"/>
        <w:spacing w:before="0" w:after="240"/>
        <w:rPr>
          <w:rFonts w:ascii="Times New Roman" w:hAnsi="Times New Roman" w:cs="Times New Roman"/>
        </w:rPr>
      </w:pPr>
      <w:r>
        <w:rPr>
          <w:rFonts w:cs="Times New Roman" w:ascii="Times New Roman" w:hAnsi="Times New Roman"/>
        </w:rPr>
        <w:t>Das FSP T-WINGS bietet ein neues, stilvolles, innovatives Design in seinem halboffenem Gehäuse, das zweifellos für Aufsehen sorgen wird. Das stilvolle T-WINGS Gehäuse hat ein einzigartiges flügelförmiges Äußeres mit benutzerdefinierten eckigen Formen mit schwarz eloxierter Beschichtung und Akzenten mit goldenen oder roten Verzierungen. Das einzigartige Design des T-WINGS Gehäuses ermöglicht es Anwendern, visuell beeindruckende PC-Systeme zu bauen.</w:t>
      </w:r>
    </w:p>
    <w:p>
      <w:pPr>
        <w:pStyle w:val="Heading3"/>
        <w:spacing w:beforeAutospacing="0" w:before="0" w:afterAutospacing="0" w:after="0"/>
        <w:rPr>
          <w:rFonts w:ascii="Times New Roman" w:hAnsi="Times New Roman" w:cs="Times New Roman"/>
        </w:rPr>
      </w:pPr>
      <w:r>
        <w:rPr>
          <w:rFonts w:cs="Times New Roman" w:ascii="Times New Roman" w:hAnsi="Times New Roman"/>
        </w:rPr>
        <w:t>Stabil &amp; cool</w:t>
      </w:r>
    </w:p>
    <w:p>
      <w:pPr>
        <w:pStyle w:val="Normal"/>
        <w:spacing w:before="0" w:after="240"/>
        <w:rPr>
          <w:rFonts w:ascii="Times New Roman" w:hAnsi="Times New Roman" w:cs="Times New Roman"/>
        </w:rPr>
      </w:pPr>
      <w:r>
        <w:rPr>
          <w:rFonts w:cs="Times New Roman" w:ascii="Times New Roman" w:hAnsi="Times New Roman"/>
        </w:rPr>
        <w:t>Der stabile Aluminiumrahmen und die 4-mm-Hartglasscheiben schützen wertvolle Komponenten vor typischen Einwirkungen in Wohn- oder Büroumgebungen und bieten maximale Wärmeableitung durch große Lüftungsschlitze. Die Unterstützung von doppelten Flüssigkeitskühlsystemen und zwei Stromversorgungen stellt sicher, dass beide Systeme ihre jeweilige maximale Leistung ohne Einschränkungen erreichen können. Das T-WINGS Gehäuse bietet Platz für Grafikkarten, die sowohl horizontal als auch vertikal montiert werden können und für viele PC-Bauarten geeignet sind. Für Benutzer, die eine hohe lokale Speicherkapazität benötigen, bietet das T-WINGS Gehäuse die Möglichkeit, insgesamt bis zu fünf Festplatten zu installieren: zwei Standardlaufwerke der Größe 3,5 und drei Laufwerke der Größe 2,5 Zoll.</w:t>
      </w:r>
    </w:p>
    <w:p>
      <w:pPr>
        <w:pStyle w:val="Heading3"/>
        <w:spacing w:beforeAutospacing="0" w:before="0" w:afterAutospacing="0" w:after="0"/>
        <w:rPr>
          <w:rFonts w:ascii="Times New Roman" w:hAnsi="Times New Roman" w:cs="Times New Roman"/>
        </w:rPr>
      </w:pPr>
      <w:r>
        <w:rPr>
          <w:rFonts w:cs="Times New Roman" w:ascii="Times New Roman" w:hAnsi="Times New Roman"/>
        </w:rPr>
        <w:t>ARGB Lichtleiste &amp; neues innovatives Verkabelungssystem</w:t>
      </w:r>
    </w:p>
    <w:p>
      <w:pPr>
        <w:pStyle w:val="Normal"/>
        <w:spacing w:before="0" w:after="240"/>
        <w:rPr>
          <w:rFonts w:ascii="Times New Roman" w:hAnsi="Times New Roman" w:cs="Times New Roman"/>
        </w:rPr>
      </w:pPr>
      <w:r>
        <w:rPr>
          <w:rFonts w:cs="Times New Roman" w:ascii="Times New Roman" w:hAnsi="Times New Roman"/>
        </w:rPr>
        <w:t>Das besondere Rückgrat des T-WINGS Gehäuese wurde speziell entwickelt, um 40 mm großen Platz für das Kabelmanagement zu bieten. Das benutzerdefinierte zentrale Kabelsystem bietet einen übersichtlichen Bereich für die Management aller Kabel und befreit den Haupt-Bereich des PCs von Luftstromeinschränkungen. Zu den weiteren besonderen Funktionen gehört eine adressierbare RGB-Lichtleiste, mit der Sie das Erscheinungsbild Ihres PCs mithilfe der ARGB-Software-Synchronisierung personalisieren können. Die Lichtleiste ist mit allen wichtigen ARGB-Motherboard-Steuerungssoftware-Produkten kompatibel, einschließlich ASRock Polychrome Sync, ASUS Aura Sync, Gigabyte RGB Fusion und MSI Mystic Light Sync.</w:t>
        <w:br/>
        <w:br/>
        <w:t>Das Frontpanel verfügt über 3,5-mm-HD-Audio-Stereo und -Mikrofoneingänge, einen USB 3.1 Typ-C Anschluss (2. Generation) und zwei USB 3.1 Typ-A Anschlüsse (1. Generation), über die Benutzer ihre Smartphones, Tablets, Headsets und andere PC-Peripheriegeräte bequem anschließen können.</w:t>
      </w:r>
    </w:p>
    <w:p>
      <w:pPr>
        <w:pStyle w:val="Heading3"/>
        <w:spacing w:beforeAutospacing="0" w:before="0" w:afterAutospacing="0" w:after="0"/>
        <w:rPr>
          <w:rFonts w:ascii="Times New Roman" w:hAnsi="Times New Roman" w:cs="Times New Roman"/>
        </w:rPr>
      </w:pPr>
      <w:r>
        <w:rPr>
          <w:rFonts w:cs="Times New Roman" w:ascii="Times New Roman" w:hAnsi="Times New Roman"/>
        </w:rPr>
        <w:t>Anschauen &amp; Gewinnen!</w:t>
      </w:r>
    </w:p>
    <w:p>
      <w:pPr>
        <w:pStyle w:val="Normal"/>
        <w:spacing w:before="0" w:after="240"/>
        <w:rPr/>
      </w:pPr>
      <w:r>
        <w:rPr>
          <w:rFonts w:cs="Times New Roman" w:ascii="Times New Roman" w:hAnsi="Times New Roman"/>
        </w:rPr>
        <w:t>Nehmen Sie an unserem Online-Event teil und gewinnen Sie das neue, elegante T-WING Gehäuse in Wunschfarbe und Steam Store Gutscheine! Beantworten Sie einfach eine Frage, nachdem Sie sich unser YouTube-Video (</w:t>
      </w:r>
      <w:hyperlink r:id="rId2" w:tgtFrame="_blank">
        <w:r>
          <w:rPr>
            <w:rStyle w:val="InternetLink"/>
            <w:rFonts w:cs="Times New Roman" w:ascii="Times New Roman" w:hAnsi="Times New Roman"/>
          </w:rPr>
          <w:t>https://www.fsplifestyle.com/promotion/T-WINGS/campaign_en.html</w:t>
        </w:r>
      </w:hyperlink>
      <w:r>
        <w:rPr>
          <w:rFonts w:cs="Times New Roman" w:ascii="Times New Roman" w:hAnsi="Times New Roman"/>
        </w:rPr>
        <w:t>) angesehen haben - so einfach geht's!</w:t>
      </w:r>
    </w:p>
    <w:p>
      <w:pPr>
        <w:pStyle w:val="Heading3"/>
        <w:spacing w:beforeAutospacing="0" w:before="0" w:afterAutospacing="0" w:after="0"/>
        <w:rPr>
          <w:rFonts w:ascii="Times New Roman" w:hAnsi="Times New Roman" w:cs="Times New Roman"/>
        </w:rPr>
      </w:pPr>
      <w:r>
        <w:rPr>
          <w:rFonts w:cs="Times New Roman" w:ascii="Times New Roman" w:hAnsi="Times New Roman"/>
        </w:rPr>
        <w:t>T-WING Spezi</w:t>
      </w:r>
      <w:r>
        <w:rPr>
          <w:rFonts w:eastAsia="MS Mincho" w:cs="Times New Roman" w:ascii="Times New Roman" w:hAnsi="Times New Roman"/>
        </w:rPr>
        <w:t>ﬁ</w:t>
      </w:r>
      <w:r>
        <w:rPr>
          <w:rFonts w:cs="Times New Roman" w:ascii="Times New Roman" w:hAnsi="Times New Roman"/>
        </w:rPr>
        <w:t>kationen</w:t>
      </w:r>
    </w:p>
    <w:tbl>
      <w:tblPr>
        <w:tblW w:w="2550" w:type="pct"/>
        <w:jc w:val="left"/>
        <w:tblInd w:w="0" w:type="dxa"/>
        <w:tblCellMar>
          <w:top w:w="60" w:type="dxa"/>
          <w:left w:w="60" w:type="dxa"/>
          <w:bottom w:w="60" w:type="dxa"/>
          <w:right w:w="60" w:type="dxa"/>
        </w:tblCellMar>
        <w:tblLook w:val="04a0"/>
      </w:tblPr>
      <w:tblGrid>
        <w:gridCol w:w="1043"/>
        <w:gridCol w:w="1135"/>
        <w:gridCol w:w="0"/>
        <w:gridCol w:w="2058"/>
      </w:tblGrid>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Model</w:t>
            </w:r>
          </w:p>
        </w:tc>
        <w:tc>
          <w:tcPr>
            <w:tcW w:w="2058" w:type="dxa"/>
            <w:tcBorders>
              <w:top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CMT710</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Type</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Aluminum / Tempered Glass Open Frame Chassis</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Color</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Black &amp; Gold / Black &amp; Red</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Materials</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Anodized Aluminum, 4mm Tempered Glass</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Dimensions</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624 x 455 x 530 mm</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Motherboard Support</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motherboards </w:t>
              <w:br/>
              <w:t xml:space="preserve">MB 1: E-ATX, ATX, Micro ATX, Mini-ITX </w:t>
              <w:br/>
              <w:t xml:space="preserve">MB 2: Mini-ITX </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External I/O port</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1 x USB 3.2 Type-C </w:t>
              <w:br/>
              <w:t xml:space="preserve">2 x USB 3.1 Type-A </w:t>
              <w:br/>
              <w:t xml:space="preserve">HD Audio </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CPU Cooler Height</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155mm</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VGA Card Length</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380mm</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Expansion Slots</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8</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Power Supply Type</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PSU </w:t>
              <w:br/>
              <w:t xml:space="preserve">PSU 1: 240mm ATX PSU </w:t>
              <w:br/>
              <w:t xml:space="preserve">PSU 2: SFX/SFX-L PSU </w:t>
            </w:r>
          </w:p>
        </w:tc>
      </w:tr>
      <w:tr>
        <w:trPr/>
        <w:tc>
          <w:tcPr>
            <w:tcW w:w="1043" w:type="dxa"/>
            <w:vMerge w:val="restart"/>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Drive Bay</w:t>
            </w:r>
          </w:p>
        </w:tc>
        <w:tc>
          <w:tcPr>
            <w:tcW w:w="1135"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3.5-inch HDD</w:t>
            </w:r>
          </w:p>
        </w:tc>
        <w:tc>
          <w:tcPr>
            <w:tcW w:w="2058"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w:t>
            </w:r>
          </w:p>
        </w:tc>
      </w:tr>
      <w:tr>
        <w:trPr/>
        <w:tc>
          <w:tcPr>
            <w:tcW w:w="1043" w:type="dxa"/>
            <w:vMerge w:val="continue"/>
            <w:tcBorders>
              <w:top w:val="single" w:sz="6" w:space="0" w:color="808080"/>
              <w:left w:val="single" w:sz="6" w:space="0" w:color="808080"/>
              <w:bottom w:val="single" w:sz="6" w:space="0" w:color="808080"/>
              <w:right w:val="single" w:sz="6" w:space="0" w:color="80808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1135"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2.5-inch SSD</w:t>
            </w:r>
          </w:p>
        </w:tc>
        <w:tc>
          <w:tcPr>
            <w:tcW w:w="2058"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w:t>
            </w:r>
          </w:p>
        </w:tc>
      </w:tr>
      <w:tr>
        <w:trPr/>
        <w:tc>
          <w:tcPr>
            <w:tcW w:w="217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Radiator Support</w:t>
            </w:r>
          </w:p>
        </w:tc>
        <w:tc>
          <w:tcPr>
            <w:tcW w:w="205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360mm x 2 (optional)</w:t>
            </w:r>
          </w:p>
        </w:tc>
      </w:tr>
    </w:tbl>
    <w:p>
      <w:pPr>
        <w:pStyle w:val="Normal"/>
        <w:rPr>
          <w:rFonts w:ascii="Times New Roman" w:hAnsi="Times New Roman" w:cs="Times New Roman"/>
        </w:rPr>
      </w:pPr>
      <w:r>
        <w:rPr>
          <w:rFonts w:cs="Times New Roman" w:ascii="Times New Roman" w:hAnsi="Times New Roman"/>
        </w:rPr>
      </w:r>
    </w:p>
    <w:p>
      <w:pPr>
        <w:pStyle w:val="Heading3"/>
        <w:spacing w:beforeAutospacing="0" w:before="0" w:afterAutospacing="0" w:after="0"/>
        <w:rPr>
          <w:rFonts w:ascii="Times New Roman" w:hAnsi="Times New Roman" w:cs="Times New Roman"/>
        </w:rPr>
      </w:pPr>
      <w:r>
        <w:rPr>
          <w:rFonts w:cs="Times New Roman" w:ascii="Times New Roman" w:hAnsi="Times New Roman"/>
        </w:rPr>
        <w:t>Weitere Informationen zu diesen Produkten und Video-Demonstrationen sind auf den folgenden Seiten zu finden:</w:t>
      </w:r>
    </w:p>
    <w:p>
      <w:pPr>
        <w:pStyle w:val="Normal"/>
        <w:rPr/>
      </w:pPr>
      <w:r>
        <w:rPr>
          <w:rFonts w:cs="Times New Roman" w:ascii="Times New Roman" w:hAnsi="Times New Roman"/>
        </w:rPr>
        <w:t xml:space="preserve">Produkt URL: </w:t>
      </w:r>
      <w:hyperlink r:id="rId3" w:tgtFrame="_blank">
        <w:r>
          <w:rPr>
            <w:rStyle w:val="InternetLink"/>
            <w:rFonts w:cs="Times New Roman" w:ascii="Times New Roman" w:hAnsi="Times New Roman"/>
          </w:rPr>
          <w:t>https://www.fsplifestyle.com/promotion/T-WINGS/feature.html</w:t>
        </w:r>
      </w:hyperlink>
      <w:r>
        <w:rPr>
          <w:rFonts w:cs="Times New Roman" w:ascii="Times New Roman" w:hAnsi="Times New Roman"/>
        </w:rPr>
        <w:br/>
        <w:t xml:space="preserve">Video URL: </w:t>
      </w:r>
      <w:hyperlink r:id="rId4" w:tgtFrame="_blank">
        <w:r>
          <w:rPr>
            <w:rStyle w:val="InternetLink"/>
            <w:rFonts w:cs="Times New Roman" w:ascii="Times New Roman" w:hAnsi="Times New Roman"/>
          </w:rPr>
          <w:t>https://www.youtube.com/watch?v=PKQ9wbmyfUA</w:t>
        </w:r>
        <w:r>
          <w:rPr>
            <w:rStyle w:val="ListLabel2"/>
            <w:rFonts w:cs="Times New Roman" w:ascii="Times New Roman" w:hAnsi="Times New Roman"/>
            <w:color w:val="0000FF"/>
            <w:u w:val="single"/>
          </w:rPr>
          <w:br/>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 xml:space="preserve">Der vom Hersteller empfohlene Verkaufspreis (EVP before tax) beträgt: </w:t>
      </w:r>
    </w:p>
    <w:p>
      <w:pPr>
        <w:pStyle w:val="Normal"/>
        <w:spacing w:before="0" w:after="240"/>
        <w:rPr>
          <w:rFonts w:ascii="Times New Roman" w:hAnsi="Times New Roman" w:cs="Times New Roman"/>
        </w:rPr>
      </w:pPr>
      <w:r>
        <w:rPr>
          <w:rFonts w:cs="Times New Roman" w:ascii="Times New Roman" w:hAnsi="Times New Roman"/>
        </w:rPr>
        <w:t xml:space="preserve">EU449 für das T-WINGS </w:t>
      </w:r>
    </w:p>
    <w:p>
      <w:pPr>
        <w:pStyle w:val="Heading3"/>
        <w:spacing w:beforeAutospacing="0" w:before="0" w:afterAutospacing="0" w:after="0"/>
        <w:rPr>
          <w:rFonts w:ascii="Times New Roman" w:hAnsi="Times New Roman" w:cs="Times New Roman"/>
        </w:rPr>
      </w:pPr>
      <w:r>
        <w:rPr>
          <w:rFonts w:cs="Times New Roman" w:ascii="Times New Roman" w:hAnsi="Times New Roman"/>
        </w:rPr>
        <w:t>WeitereProduktinformationen finden Sie unter:</w:t>
      </w:r>
    </w:p>
    <w:p>
      <w:pPr>
        <w:pStyle w:val="Normal"/>
        <w:spacing w:before="0" w:after="240"/>
        <w:rPr/>
      </w:pPr>
      <w:r>
        <w:rPr>
          <w:rFonts w:cs="Times New Roman" w:ascii="Times New Roman" w:hAnsi="Times New Roman"/>
        </w:rPr>
        <w:t xml:space="preserve">Offizielle Website der FSP-Gruppe unter: </w:t>
      </w:r>
      <w:hyperlink r:id="rId5" w:tgtFrame="_blank">
        <w:r>
          <w:rPr>
            <w:rStyle w:val="InternetLink"/>
            <w:rFonts w:cs="Times New Roman" w:ascii="Times New Roman" w:hAnsi="Times New Roman"/>
          </w:rPr>
          <w:t>www.fsp-group.com</w:t>
        </w:r>
      </w:hyperlink>
      <w:r>
        <w:rPr>
          <w:rFonts w:cs="Times New Roman" w:ascii="Times New Roman" w:hAnsi="Times New Roman"/>
        </w:rPr>
        <w:br/>
        <w:t xml:space="preserve">FSP Group Brand Produkt-Website unter: </w:t>
      </w:r>
      <w:hyperlink r:id="rId6" w:tgtFrame="_blank">
        <w:r>
          <w:rPr>
            <w:rStyle w:val="InternetLink"/>
            <w:rFonts w:cs="Times New Roman" w:ascii="Times New Roman" w:hAnsi="Times New Roman"/>
          </w:rPr>
          <w:t>www.FSPLifestyle.com</w:t>
        </w:r>
      </w:hyperlink>
      <w:r>
        <w:rPr>
          <w:rFonts w:cs="Times New Roman" w:ascii="Times New Roman" w:hAnsi="Times New Roman"/>
        </w:rPr>
        <w:br/>
        <w:t xml:space="preserve">FSP-Blog: </w:t>
      </w:r>
      <w:hyperlink r:id="rId7" w:tgtFrame="_blank">
        <w:r>
          <w:rPr>
            <w:rStyle w:val="InternetLink"/>
            <w:rFonts w:cs="Times New Roman" w:ascii="Times New Roman" w:hAnsi="Times New Roman"/>
          </w:rPr>
          <w:t>blog.fsp-group.com</w:t>
        </w:r>
      </w:hyperlink>
      <w:r>
        <w:rPr>
          <w:rFonts w:cs="Times New Roman" w:ascii="Times New Roman" w:hAnsi="Times New Roman"/>
        </w:rPr>
        <w:br/>
        <w:t xml:space="preserve">Facebook: </w:t>
      </w:r>
      <w:hyperlink r:id="rId8" w:tgtFrame="_blank">
        <w:r>
          <w:rPr>
            <w:rStyle w:val="InternetLink"/>
            <w:rFonts w:cs="Times New Roman" w:ascii="Times New Roman" w:hAnsi="Times New Roman"/>
          </w:rPr>
          <w:t>www.facebook.com/FSP.global</w:t>
        </w:r>
      </w:hyperlink>
      <w:r>
        <w:rPr>
          <w:rFonts w:cs="Times New Roman" w:ascii="Times New Roman" w:hAnsi="Times New Roman"/>
        </w:rPr>
        <w:br/>
        <w:t xml:space="preserve">LinkedIn: </w:t>
      </w:r>
      <w:hyperlink r:id="rId9" w:tgtFrame="_blank">
        <w:r>
          <w:rPr>
            <w:rStyle w:val="InternetLink"/>
            <w:rFonts w:cs="Times New Roman" w:ascii="Times New Roman" w:hAnsi="Times New Roman"/>
          </w:rPr>
          <w:t>www.linkedin.com/company/1842554</w:t>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Über FSP</w:t>
      </w:r>
    </w:p>
    <w:p>
      <w:pPr>
        <w:pStyle w:val="Normal"/>
        <w:rPr/>
      </w:pPr>
      <w:r>
        <w:rPr>
          <w:rFonts w:cs="Times New Roman" w:ascii="Times New Roman" w:hAnsi="Times New Roman"/>
        </w:rPr>
        <w:t xml:space="preserve">FSP wurde 1993 gegründet und ist einer der weltweit führenden Hersteller von Netzteilen. Die FSP Group (3015: Taiwan) erfüllt mit einem 400-köpfigen F&amp;E-Team, großen Produktionskapazitäten und umfassenden Produktionslinien unterschiedlichste Anforderungen der Anwender an Stromversorgungen. Mit mehr als 500 Modellen, die nach 80 PLUS-Standards zertifiziert sind, ist sie weltweit die Nummer eins mit den meisten 80 PLUS-Zertifizierungen. FSP verwendet umweltfreundliche Technologien, indem es bestmöglichen Umweltschutz und hochwertige Stromversorgungsprodukte bietet. Website der FSP-Gruppe: </w:t>
      </w:r>
      <w:hyperlink r:id="rId10" w:tgtFrame="_blank">
        <w:r>
          <w:rPr>
            <w:rStyle w:val="InternetLink"/>
            <w:rFonts w:cs="Times New Roman" w:ascii="Times New Roman" w:hAnsi="Times New Roman"/>
          </w:rPr>
          <w:t>www.fsp-group.com</w:t>
        </w:r>
      </w:hyperlink>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新細明體">
    <w:charset w:val="88"/>
    <w:family w:val="roman"/>
    <w:pitch w:val="variable"/>
  </w:font>
  <w:font w:name="Cambria">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eastAsiaTheme="minorEastAsia"/>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068b"/>
    <w:pPr>
      <w:widowControl/>
      <w:bidi w:val="0"/>
      <w:jc w:val="left"/>
    </w:pPr>
    <w:rPr>
      <w:rFonts w:ascii="新細明體" w:hAnsi="新細明體" w:eastAsia="新細明體" w:cs="新細明體" w:eastAsiaTheme="minorEastAsia"/>
      <w:color w:val="auto"/>
      <w:kern w:val="0"/>
      <w:sz w:val="24"/>
      <w:szCs w:val="24"/>
      <w:lang w:val="en-US" w:eastAsia="zh-TW" w:bidi="ar-SA"/>
    </w:rPr>
  </w:style>
  <w:style w:type="paragraph" w:styleId="Heading1">
    <w:name w:val="Heading 1"/>
    <w:basedOn w:val="Normal"/>
    <w:link w:val="10"/>
    <w:uiPriority w:val="9"/>
    <w:qFormat/>
    <w:rsid w:val="008f068b"/>
    <w:pPr>
      <w:spacing w:beforeAutospacing="1" w:afterAutospacing="1"/>
      <w:outlineLvl w:val="0"/>
    </w:pPr>
    <w:rPr>
      <w:b/>
      <w:bCs/>
      <w:kern w:val="2"/>
      <w:sz w:val="48"/>
      <w:szCs w:val="48"/>
    </w:rPr>
  </w:style>
  <w:style w:type="paragraph" w:styleId="Heading2">
    <w:name w:val="Heading 2"/>
    <w:basedOn w:val="Normal"/>
    <w:link w:val="20"/>
    <w:uiPriority w:val="9"/>
    <w:qFormat/>
    <w:rsid w:val="008f068b"/>
    <w:pPr>
      <w:spacing w:beforeAutospacing="1" w:afterAutospacing="1"/>
      <w:outlineLvl w:val="1"/>
    </w:pPr>
    <w:rPr>
      <w:b/>
      <w:bCs/>
      <w:sz w:val="36"/>
      <w:szCs w:val="36"/>
    </w:rPr>
  </w:style>
  <w:style w:type="paragraph" w:styleId="Heading3">
    <w:name w:val="Heading 3"/>
    <w:basedOn w:val="Normal"/>
    <w:link w:val="30"/>
    <w:uiPriority w:val="9"/>
    <w:qFormat/>
    <w:rsid w:val="008f068b"/>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1"/>
    <w:uiPriority w:val="9"/>
    <w:qFormat/>
    <w:rsid w:val="008f068b"/>
    <w:rPr>
      <w:rFonts w:ascii="Cambria" w:hAnsi="Cambria" w:eastAsia="新細明體" w:cs="" w:asciiTheme="majorHAnsi" w:cstheme="majorBidi" w:eastAsiaTheme="majorEastAsia" w:hAnsiTheme="majorHAnsi"/>
      <w:b/>
      <w:bCs/>
      <w:kern w:val="2"/>
      <w:sz w:val="52"/>
      <w:szCs w:val="52"/>
    </w:rPr>
  </w:style>
  <w:style w:type="character" w:styleId="2" w:customStyle="1">
    <w:name w:val="標題 2 字元"/>
    <w:basedOn w:val="DefaultParagraphFont"/>
    <w:link w:val="2"/>
    <w:uiPriority w:val="9"/>
    <w:semiHidden/>
    <w:qFormat/>
    <w:rsid w:val="008f068b"/>
    <w:rPr>
      <w:rFonts w:ascii="Cambria" w:hAnsi="Cambria" w:eastAsia="新細明體" w:cs="" w:asciiTheme="majorHAnsi" w:cstheme="majorBidi" w:eastAsiaTheme="majorEastAsia" w:hAnsiTheme="majorHAnsi"/>
      <w:b/>
      <w:bCs/>
      <w:sz w:val="48"/>
      <w:szCs w:val="48"/>
    </w:rPr>
  </w:style>
  <w:style w:type="character" w:styleId="3" w:customStyle="1">
    <w:name w:val="標題 3 字元"/>
    <w:basedOn w:val="DefaultParagraphFont"/>
    <w:link w:val="3"/>
    <w:uiPriority w:val="9"/>
    <w:semiHidden/>
    <w:qFormat/>
    <w:rsid w:val="008f068b"/>
    <w:rPr>
      <w:rFonts w:ascii="Cambria" w:hAnsi="Cambria" w:eastAsia="新細明體" w:cs="" w:asciiTheme="majorHAnsi" w:cstheme="majorBidi" w:eastAsiaTheme="majorEastAsia" w:hAnsiTheme="majorHAnsi"/>
      <w:b/>
      <w:bCs/>
      <w:sz w:val="36"/>
      <w:szCs w:val="36"/>
    </w:rPr>
  </w:style>
  <w:style w:type="character" w:styleId="InternetLink">
    <w:name w:val="Internet Link"/>
    <w:basedOn w:val="DefaultParagraphFont"/>
    <w:uiPriority w:val="99"/>
    <w:semiHidden/>
    <w:unhideWhenUsed/>
    <w:rsid w:val="008f068b"/>
    <w:rPr>
      <w:color w:val="0000FF"/>
      <w:u w:val="single"/>
    </w:rPr>
  </w:style>
  <w:style w:type="character" w:styleId="FollowedHyperlink">
    <w:name w:val="FollowedHyperlink"/>
    <w:basedOn w:val="DefaultParagraphFont"/>
    <w:uiPriority w:val="99"/>
    <w:semiHidden/>
    <w:unhideWhenUsed/>
    <w:qFormat/>
    <w:rsid w:val="008f068b"/>
    <w:rPr>
      <w:color w:val="800080"/>
      <w:u w:val="single"/>
    </w:rPr>
  </w:style>
  <w:style w:type="character" w:styleId="Style11" w:customStyle="1">
    <w:name w:val="頁首 字元"/>
    <w:basedOn w:val="DefaultParagraphFont"/>
    <w:link w:val="a5"/>
    <w:uiPriority w:val="99"/>
    <w:semiHidden/>
    <w:qFormat/>
    <w:rsid w:val="00387e55"/>
    <w:rPr>
      <w:rFonts w:ascii="新細明體" w:hAnsi="新細明體" w:eastAsia="新細明體" w:cs="新細明體"/>
    </w:rPr>
  </w:style>
  <w:style w:type="character" w:styleId="Style12" w:customStyle="1">
    <w:name w:val="頁尾 字元"/>
    <w:basedOn w:val="DefaultParagraphFont"/>
    <w:link w:val="a7"/>
    <w:uiPriority w:val="99"/>
    <w:semiHidden/>
    <w:qFormat/>
    <w:rsid w:val="00387e55"/>
    <w:rPr>
      <w:rFonts w:ascii="新細明體" w:hAnsi="新細明體" w:eastAsia="新細明體" w:cs="新細明體"/>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unhideWhenUsed/>
    <w:qFormat/>
    <w:rsid w:val="008f068b"/>
    <w:pPr>
      <w:spacing w:beforeAutospacing="1" w:afterAutospacing="1"/>
    </w:pPr>
    <w:rPr/>
  </w:style>
  <w:style w:type="paragraph" w:styleId="Header">
    <w:name w:val="Header"/>
    <w:basedOn w:val="Normal"/>
    <w:link w:val="a6"/>
    <w:uiPriority w:val="99"/>
    <w:semiHidden/>
    <w:unhideWhenUsed/>
    <w:rsid w:val="00387e55"/>
    <w:pPr>
      <w:tabs>
        <w:tab w:val="clear" w:pos="480"/>
        <w:tab w:val="center" w:pos="4153" w:leader="none"/>
        <w:tab w:val="right" w:pos="8306" w:leader="none"/>
      </w:tabs>
      <w:snapToGrid w:val="false"/>
    </w:pPr>
    <w:rPr>
      <w:sz w:val="20"/>
      <w:szCs w:val="20"/>
    </w:rPr>
  </w:style>
  <w:style w:type="paragraph" w:styleId="Footer">
    <w:name w:val="Footer"/>
    <w:basedOn w:val="Normal"/>
    <w:link w:val="a8"/>
    <w:uiPriority w:val="99"/>
    <w:semiHidden/>
    <w:unhideWhenUsed/>
    <w:rsid w:val="00387e5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splifestyle.com/promotion/T-WINGS/T-WINGS_PrizeHunt.html" TargetMode="External"/><Relationship Id="rId3" Type="http://schemas.openxmlformats.org/officeDocument/2006/relationships/hyperlink" Target="https://www.fsplifestyle.com/promotion/T-WINGS/feature.html" TargetMode="External"/><Relationship Id="rId4" Type="http://schemas.openxmlformats.org/officeDocument/2006/relationships/hyperlink" Target="https://www.youtube.com/watch?v=PKQ9wbmyfUA" TargetMode="External"/><Relationship Id="rId5" Type="http://schemas.openxmlformats.org/officeDocument/2006/relationships/hyperlink" Target="http://www.fsp-group.com/" TargetMode="External"/><Relationship Id="rId6" Type="http://schemas.openxmlformats.org/officeDocument/2006/relationships/hyperlink" Target="http://www.fsplifestyle.com/" TargetMode="External"/><Relationship Id="rId7" Type="http://schemas.openxmlformats.org/officeDocument/2006/relationships/hyperlink" Target="http://blog.fsp-group.com/" TargetMode="External"/><Relationship Id="rId8" Type="http://schemas.openxmlformats.org/officeDocument/2006/relationships/hyperlink" Target="http://www.facebook.com/FSP.global" TargetMode="External"/><Relationship Id="rId9" Type="http://schemas.openxmlformats.org/officeDocument/2006/relationships/hyperlink" Target="http://www.linkedin.com/company/1842554" TargetMode="External"/><Relationship Id="rId10" Type="http://schemas.openxmlformats.org/officeDocument/2006/relationships/hyperlink" Target="http://www.fsp-group.com/"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LibreOffice/6.2.4.2$Windows_X86_64 LibreOffice_project/2412653d852ce75f65fbfa83fb7e7b669a126d64</Application>
  <Pages>3</Pages>
  <Words>739</Words>
  <Characters>5132</Characters>
  <CharactersWithSpaces>5832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2020-02-28T09:01:00Z</dcterms:created>
  <dc:creator>Sandy</dc:creator>
  <dc:description/>
  <dc:language>en-US</dc:language>
  <cp:lastModifiedBy/>
  <dcterms:modified xsi:type="dcterms:W3CDTF">2020-03-03T11:33:38Z</dcterms:modified>
  <cp:revision>4</cp:revision>
  <dc:subject/>
  <dc:title>FSP kündigt das neue 2-in-1 High-End PC-Gehäuse T-WINGS 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