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36AFD" w:rsidRDefault="001A66B4">
      <w:pPr>
        <w:rPr>
          <w:rFonts w:asciiTheme="minorHAnsi" w:hAnsiTheme="minorHAnsi" w:cstheme="minorHAnsi"/>
          <w:lang/>
        </w:rPr>
      </w:pPr>
      <w:r w:rsidRPr="00F36AFD">
        <w:rPr>
          <w:rFonts w:asciiTheme="minorHAnsi" w:hAnsiTheme="minorHAnsi" w:cstheme="minorHAnsi"/>
          <w:lang/>
        </w:rPr>
        <w:t>FOR IMMEDIATE RELEASE</w:t>
      </w:r>
    </w:p>
    <w:p w:rsidR="00000000" w:rsidRPr="00F36AFD" w:rsidRDefault="001A66B4">
      <w:pPr>
        <w:pStyle w:val="1"/>
        <w:spacing w:before="0" w:beforeAutospacing="0" w:after="0" w:afterAutospacing="0"/>
        <w:jc w:val="center"/>
        <w:rPr>
          <w:rFonts w:asciiTheme="minorHAnsi" w:hAnsiTheme="minorHAnsi" w:cstheme="minorHAnsi"/>
          <w:lang/>
        </w:rPr>
      </w:pPr>
      <w:r w:rsidRPr="00F36AFD">
        <w:rPr>
          <w:rFonts w:asciiTheme="minorHAnsi" w:hAnsiTheme="minorHAnsi" w:cstheme="minorHAnsi"/>
          <w:lang/>
        </w:rPr>
        <w:t>FSP lance ses alimentations DAGGER PRO SFX 750W/850W</w:t>
      </w:r>
    </w:p>
    <w:p w:rsidR="00000000" w:rsidRPr="00F36AFD" w:rsidRDefault="001A66B4">
      <w:pPr>
        <w:pStyle w:val="2"/>
        <w:jc w:val="center"/>
        <w:rPr>
          <w:rFonts w:asciiTheme="minorHAnsi" w:hAnsiTheme="minorHAnsi" w:cstheme="minorHAnsi"/>
          <w:i/>
          <w:iCs/>
          <w:lang/>
        </w:rPr>
      </w:pPr>
      <w:r w:rsidRPr="00F36AFD">
        <w:rPr>
          <w:rFonts w:asciiTheme="minorHAnsi" w:hAnsiTheme="minorHAnsi" w:cstheme="minorHAnsi"/>
          <w:i/>
          <w:iCs/>
          <w:lang/>
        </w:rPr>
        <w:t>Pour exprimer tout le potentiel des GPU des séries RTX 30 et des Radeon 6000 dans les châssis mini-ITX</w:t>
      </w:r>
    </w:p>
    <w:p w:rsidR="00000000" w:rsidRPr="00F36AFD" w:rsidRDefault="001A66B4">
      <w:pPr>
        <w:spacing w:after="240"/>
        <w:rPr>
          <w:rFonts w:asciiTheme="minorHAnsi" w:hAnsiTheme="minorHAnsi" w:cstheme="minorHAnsi"/>
          <w:lang/>
        </w:rPr>
      </w:pPr>
      <w:r w:rsidRPr="00F36AFD">
        <w:rPr>
          <w:rFonts w:asciiTheme="minorHAnsi" w:hAnsiTheme="minorHAnsi" w:cstheme="minorHAnsi"/>
          <w:b/>
          <w:bCs/>
          <w:i/>
          <w:iCs/>
          <w:lang/>
        </w:rPr>
        <w:t xml:space="preserve">29 juin 2021, Taipei, Taiwan - </w:t>
      </w:r>
      <w:r w:rsidRPr="00F36AFD">
        <w:rPr>
          <w:rFonts w:asciiTheme="minorHAnsi" w:hAnsiTheme="minorHAnsi" w:cstheme="minorHAnsi"/>
          <w:lang/>
        </w:rPr>
        <w:t xml:space="preserve">FSP, </w:t>
      </w:r>
      <w:r w:rsidRPr="00F36AFD">
        <w:rPr>
          <w:rFonts w:asciiTheme="minorHAnsi" w:hAnsiTheme="minorHAnsi" w:cstheme="minorHAnsi"/>
          <w:lang/>
        </w:rPr>
        <w:t>l'un des leaders mondiaux dans la fabrication d'alimentations, a le plaisir d'annoncer deux nouveaux modèles haute puissance : le DAGGER PRO 850W et le DAGGER PRO 750W.</w:t>
      </w:r>
      <w:r w:rsidRPr="00F36AFD">
        <w:rPr>
          <w:rFonts w:asciiTheme="minorHAnsi" w:hAnsiTheme="minorHAnsi" w:cstheme="minorHAnsi"/>
          <w:lang/>
        </w:rPr>
        <w:br/>
      </w:r>
      <w:r w:rsidRPr="00F36AFD">
        <w:rPr>
          <w:rFonts w:asciiTheme="minorHAnsi" w:hAnsiTheme="minorHAnsi" w:cstheme="minorHAnsi"/>
          <w:lang/>
        </w:rPr>
        <w:br/>
        <w:t>Les alimentations DAGGER PRO sont entièrement modulaires et conformes à la norme SFX12</w:t>
      </w:r>
      <w:r w:rsidRPr="00F36AFD">
        <w:rPr>
          <w:rFonts w:asciiTheme="minorHAnsi" w:hAnsiTheme="minorHAnsi" w:cstheme="minorHAnsi"/>
          <w:lang/>
        </w:rPr>
        <w:t>V V3.3. Le DAGGER PRO s'intègre facilement dans n'importe quel châssis standard ATX ou SFX grâce à l'adaptateur de châssis inclus.</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Pour des GPU haute puissance dans un châssis Mini-ITX</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Le DAGGER PRO 750W/850W est idéal pour les PC gamer ultra-petits, les</w:t>
      </w:r>
      <w:r w:rsidRPr="00F36AFD">
        <w:rPr>
          <w:rFonts w:asciiTheme="minorHAnsi" w:hAnsiTheme="minorHAnsi" w:cstheme="minorHAnsi"/>
          <w:lang/>
        </w:rPr>
        <w:t xml:space="preserve"> PC créateurs et les stations de travail. Le nouveau DAGGER PRO permet aux utilisateurs de créer des châssis mini-ITX et à petit facteur de forme avec le dernier matériel PC haut de gamme. Il offre des capacités d'alimentation maximales disponibles via un </w:t>
      </w:r>
      <w:r w:rsidRPr="00F36AFD">
        <w:rPr>
          <w:rFonts w:asciiTheme="minorHAnsi" w:hAnsiTheme="minorHAnsi" w:cstheme="minorHAnsi"/>
          <w:lang/>
        </w:rPr>
        <w:t>design de rail unique +12V. Les deux unités sont livrées avec un câble qui se divise pour fournir deux câbles d'alimentation CPU 4+4 broches, ainsi que deux autres câbles qui se divisent pour fournir quatre câbles d'alimentation PCI-Express 6+2 broches. Le</w:t>
      </w:r>
      <w:r w:rsidRPr="00F36AFD">
        <w:rPr>
          <w:rFonts w:asciiTheme="minorHAnsi" w:hAnsiTheme="minorHAnsi" w:cstheme="minorHAnsi"/>
          <w:lang/>
        </w:rPr>
        <w:t xml:space="preserve"> DAGGER PRO peut être utilisé avec le matériel le plus exigeant, y compris les CPU tels que les nouveaux processeurs Intel série K et AMD 16 cœurs. Il est également capable d'alimenter les derniers GPU RTX série 30XX de Nvidia et les cartes graphiques AMD </w:t>
      </w:r>
      <w:r w:rsidRPr="00F36AFD">
        <w:rPr>
          <w:rFonts w:asciiTheme="minorHAnsi" w:hAnsiTheme="minorHAnsi" w:cstheme="minorHAnsi"/>
          <w:lang/>
        </w:rPr>
        <w:t>Série Radeon 6000.</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Hardware de haute qualité et circuit intégré de commande breveté</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La série DAGGER PRO utilise des E-Caps japonais pour assurer un fonctionnement durable et stable pendant les périodes de forte demande de puissance prolongée. Le DAGGER P</w:t>
      </w:r>
      <w:r w:rsidRPr="00F36AFD">
        <w:rPr>
          <w:rFonts w:asciiTheme="minorHAnsi" w:hAnsiTheme="minorHAnsi" w:cstheme="minorHAnsi"/>
          <w:lang/>
        </w:rPr>
        <w:t>RO utilise un design DC-DC complet ainsi que le MIA IC™ breveté de FSP pour fournir un ensemble complet de fonctions de sécurité, tout en garantissant des performances stables et une efficacité énergétique supérieure.</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Efficacité 80Plus Gold avec mode sil</w:t>
      </w:r>
      <w:r w:rsidRPr="00F36AFD">
        <w:rPr>
          <w:rFonts w:asciiTheme="minorHAnsi" w:hAnsiTheme="minorHAnsi" w:cstheme="minorHAnsi"/>
          <w:lang/>
        </w:rPr>
        <w:t>encieux « semi-fanless »</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Le DAGGER PRO 750W/850W est classé 80 Plus® Gold, permettant aux deux modèles d’offrir une efficacité énergétique supérieure pour une efficacité élevée et des niveaux de bruit faibles. La conception « semi-fanless » permet au venti</w:t>
      </w:r>
      <w:r w:rsidRPr="00F36AFD">
        <w:rPr>
          <w:rFonts w:asciiTheme="minorHAnsi" w:hAnsiTheme="minorHAnsi" w:cstheme="minorHAnsi"/>
          <w:lang/>
        </w:rPr>
        <w:t>lateur de rester éteint lorsqu'il est sous une charge de 20%, ce qui offre un fonctionnement silencieux lors de travaux légers. Le grand ventilateur de 92 mm de qualité industrielle offre un faible bruit et des performances de refroidissement appropriées p</w:t>
      </w:r>
      <w:r w:rsidRPr="00F36AFD">
        <w:rPr>
          <w:rFonts w:asciiTheme="minorHAnsi" w:hAnsiTheme="minorHAnsi" w:cstheme="minorHAnsi"/>
          <w:lang/>
        </w:rPr>
        <w:t>our le gaming ou lors d'utilisations intensives du système.</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lastRenderedPageBreak/>
        <w:t>Câblage modulaire pour un montage PC plus net</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Que vous construisiez une puissante machine de jeu ATX ou un boîtier mini-ITX de petit facteur de forme, les alimentations DAGGER PRO 750W/850W offr</w:t>
      </w:r>
      <w:r w:rsidRPr="00F36AFD">
        <w:rPr>
          <w:rFonts w:asciiTheme="minorHAnsi" w:hAnsiTheme="minorHAnsi" w:cstheme="minorHAnsi"/>
          <w:lang/>
        </w:rPr>
        <w:t>ent un câblage modulaire pour permettre à l'utilisateur d'utiliser uniquement les câbles dont il a besoin et en même temps de réduire considérablement l'encombrement des câbles.</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Disponibilité</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Le FSP DAGGER PRO 850W sera disponible en juillet au prix de 2</w:t>
      </w:r>
      <w:r w:rsidRPr="00F36AFD">
        <w:rPr>
          <w:rFonts w:asciiTheme="minorHAnsi" w:hAnsiTheme="minorHAnsi" w:cstheme="minorHAnsi"/>
          <w:lang/>
        </w:rPr>
        <w:t>09,99 euros chez les commerces en lignes et chez les revendeurs.</w:t>
      </w:r>
      <w:r w:rsidRPr="00F36AFD">
        <w:rPr>
          <w:rFonts w:asciiTheme="minorHAnsi" w:hAnsiTheme="minorHAnsi" w:cstheme="minorHAnsi"/>
          <w:lang/>
        </w:rPr>
        <w:br/>
        <w:t>Le FSP DAGGER PRO 750W sera disponible en juillet au prix de 179,99 euros chez les commerces en lignes et chez les revendeurs.</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Information produit</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 xml:space="preserve">850W: </w:t>
      </w:r>
      <w:hyperlink r:id="rId6" w:tgtFrame="_blank" w:history="1">
        <w:r w:rsidRPr="00F36AFD">
          <w:rPr>
            <w:rStyle w:val="a3"/>
            <w:rFonts w:asciiTheme="minorHAnsi" w:hAnsiTheme="minorHAnsi" w:cstheme="minorHAnsi"/>
            <w:lang/>
          </w:rPr>
          <w:t>https://www.fsplifestyle.com/en/product/DAGGERPRO850W.html</w:t>
        </w:r>
      </w:hyperlink>
      <w:r w:rsidRPr="00F36AFD">
        <w:rPr>
          <w:rFonts w:asciiTheme="minorHAnsi" w:hAnsiTheme="minorHAnsi" w:cstheme="minorHAnsi"/>
          <w:lang/>
        </w:rPr>
        <w:br/>
        <w:t xml:space="preserve">750W: </w:t>
      </w:r>
      <w:hyperlink r:id="rId7" w:tgtFrame="_blank" w:history="1">
        <w:r w:rsidRPr="00F36AFD">
          <w:rPr>
            <w:rStyle w:val="a3"/>
            <w:rFonts w:asciiTheme="minorHAnsi" w:hAnsiTheme="minorHAnsi" w:cstheme="minorHAnsi"/>
            <w:lang/>
          </w:rPr>
          <w:t>https://www.fsplifestyle.com/en/product/DAGGERPRO750W</w:t>
        </w:r>
        <w:r w:rsidRPr="00F36AFD">
          <w:rPr>
            <w:rStyle w:val="a3"/>
            <w:rFonts w:asciiTheme="minorHAnsi" w:hAnsiTheme="minorHAnsi" w:cstheme="minorHAnsi"/>
            <w:lang/>
          </w:rPr>
          <w:t>.html</w:t>
        </w:r>
      </w:hyperlink>
      <w:r w:rsidRPr="00F36AFD">
        <w:rPr>
          <w:rFonts w:asciiTheme="minorHAnsi" w:hAnsiTheme="minorHAnsi" w:cstheme="minorHAnsi"/>
          <w:lang/>
        </w:rPr>
        <w:br/>
        <w:t xml:space="preserve">Vidéo: </w:t>
      </w:r>
      <w:hyperlink r:id="rId8" w:tgtFrame="_blank" w:history="1">
        <w:r w:rsidRPr="00F36AFD">
          <w:rPr>
            <w:rStyle w:val="a3"/>
            <w:rFonts w:asciiTheme="minorHAnsi" w:hAnsiTheme="minorHAnsi" w:cstheme="minorHAnsi"/>
            <w:lang/>
          </w:rPr>
          <w:t>https://www.youtube.com/watch?v=grtzHOptErA</w:t>
        </w:r>
      </w:hyperlink>
      <w:r w:rsidRPr="00F36AFD">
        <w:rPr>
          <w:rFonts w:asciiTheme="minorHAnsi" w:hAnsiTheme="minorHAnsi" w:cstheme="minorHAnsi"/>
          <w:lang/>
        </w:rPr>
        <w:t xml:space="preserve"> </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Pour plus d’informations, veuillez visiter les pages suivantes :</w:t>
      </w:r>
    </w:p>
    <w:p w:rsidR="00000000" w:rsidRPr="00F36AFD" w:rsidRDefault="001A66B4">
      <w:pPr>
        <w:spacing w:after="240"/>
        <w:rPr>
          <w:rFonts w:asciiTheme="minorHAnsi" w:hAnsiTheme="minorHAnsi" w:cstheme="minorHAnsi"/>
          <w:lang/>
        </w:rPr>
      </w:pPr>
      <w:r w:rsidRPr="00F36AFD">
        <w:rPr>
          <w:rFonts w:asciiTheme="minorHAnsi" w:hAnsiTheme="minorHAnsi" w:cstheme="minorHAnsi"/>
          <w:lang/>
        </w:rPr>
        <w:t xml:space="preserve">Site officiel du groupe FSP: </w:t>
      </w:r>
      <w:hyperlink r:id="rId9" w:tgtFrame="_blank" w:history="1">
        <w:r w:rsidRPr="00F36AFD">
          <w:rPr>
            <w:rStyle w:val="a3"/>
            <w:rFonts w:asciiTheme="minorHAnsi" w:hAnsiTheme="minorHAnsi" w:cstheme="minorHAnsi"/>
            <w:lang/>
          </w:rPr>
          <w:t>www.fsp-group.com</w:t>
        </w:r>
      </w:hyperlink>
      <w:r w:rsidRPr="00F36AFD">
        <w:rPr>
          <w:rFonts w:asciiTheme="minorHAnsi" w:hAnsiTheme="minorHAnsi" w:cstheme="minorHAnsi"/>
          <w:lang/>
        </w:rPr>
        <w:br/>
        <w:t xml:space="preserve">Site officiel des produits de la marque FSP: </w:t>
      </w:r>
      <w:hyperlink r:id="rId10" w:tgtFrame="_blank" w:history="1">
        <w:r w:rsidRPr="00F36AFD">
          <w:rPr>
            <w:rStyle w:val="a3"/>
            <w:rFonts w:asciiTheme="minorHAnsi" w:hAnsiTheme="minorHAnsi" w:cstheme="minorHAnsi"/>
            <w:lang/>
          </w:rPr>
          <w:t>www.FSPLifestyle.com</w:t>
        </w:r>
      </w:hyperlink>
      <w:r w:rsidRPr="00F36AFD">
        <w:rPr>
          <w:rFonts w:asciiTheme="minorHAnsi" w:hAnsiTheme="minorHAnsi" w:cstheme="minorHAnsi"/>
          <w:lang/>
        </w:rPr>
        <w:br/>
        <w:t xml:space="preserve">FSP Blog: </w:t>
      </w:r>
      <w:hyperlink r:id="rId11" w:tgtFrame="_blank" w:history="1">
        <w:r w:rsidRPr="00F36AFD">
          <w:rPr>
            <w:rStyle w:val="a3"/>
            <w:rFonts w:asciiTheme="minorHAnsi" w:hAnsiTheme="minorHAnsi" w:cstheme="minorHAnsi"/>
            <w:lang/>
          </w:rPr>
          <w:t>blog.fsp-group.com</w:t>
        </w:r>
      </w:hyperlink>
      <w:r w:rsidRPr="00F36AFD">
        <w:rPr>
          <w:rFonts w:asciiTheme="minorHAnsi" w:hAnsiTheme="minorHAnsi" w:cstheme="minorHAnsi"/>
          <w:lang/>
        </w:rPr>
        <w:br/>
        <w:t>Fac</w:t>
      </w:r>
      <w:r w:rsidRPr="00F36AFD">
        <w:rPr>
          <w:rFonts w:asciiTheme="minorHAnsi" w:hAnsiTheme="minorHAnsi" w:cstheme="minorHAnsi"/>
          <w:lang/>
        </w:rPr>
        <w:t xml:space="preserve">ebook: </w:t>
      </w:r>
      <w:hyperlink r:id="rId12" w:tgtFrame="_blank" w:history="1">
        <w:r w:rsidRPr="00F36AFD">
          <w:rPr>
            <w:rStyle w:val="a3"/>
            <w:rFonts w:asciiTheme="minorHAnsi" w:hAnsiTheme="minorHAnsi" w:cstheme="minorHAnsi"/>
            <w:lang/>
          </w:rPr>
          <w:t>www.facebook.com/FSP.global</w:t>
        </w:r>
      </w:hyperlink>
      <w:r w:rsidRPr="00F36AFD">
        <w:rPr>
          <w:rFonts w:asciiTheme="minorHAnsi" w:hAnsiTheme="minorHAnsi" w:cstheme="minorHAnsi"/>
          <w:lang/>
        </w:rPr>
        <w:br/>
        <w:t xml:space="preserve">LinkedIn: </w:t>
      </w:r>
      <w:hyperlink r:id="rId13" w:tgtFrame="_blank" w:history="1">
        <w:r w:rsidRPr="00F36AFD">
          <w:rPr>
            <w:rStyle w:val="a3"/>
            <w:rFonts w:asciiTheme="minorHAnsi" w:hAnsiTheme="minorHAnsi" w:cstheme="minorHAnsi"/>
            <w:lang/>
          </w:rPr>
          <w:t>www.linkedin.com/company/1842554</w:t>
        </w:r>
      </w:hyperlink>
      <w:r w:rsidRPr="00F36AFD">
        <w:rPr>
          <w:rFonts w:asciiTheme="minorHAnsi" w:hAnsiTheme="minorHAnsi" w:cstheme="minorHAnsi"/>
          <w:lang/>
        </w:rPr>
        <w:br/>
        <w:t xml:space="preserve">Twitter: </w:t>
      </w:r>
      <w:hyperlink r:id="rId14" w:tgtFrame="_blank" w:history="1">
        <w:r w:rsidRPr="00F36AFD">
          <w:rPr>
            <w:rStyle w:val="a3"/>
            <w:rFonts w:asciiTheme="minorHAnsi" w:hAnsiTheme="minorHAnsi" w:cstheme="minorHAnsi"/>
            <w:lang/>
          </w:rPr>
          <w:t>https://twitter.com/FSP_FR</w:t>
        </w:r>
      </w:hyperlink>
      <w:r w:rsidRPr="00F36AFD">
        <w:rPr>
          <w:rFonts w:asciiTheme="minorHAnsi" w:hAnsiTheme="minorHAnsi" w:cstheme="minorHAnsi"/>
          <w:lang/>
        </w:rPr>
        <w:t xml:space="preserve"> </w:t>
      </w:r>
    </w:p>
    <w:p w:rsidR="00000000" w:rsidRPr="00F36AFD" w:rsidRDefault="001A66B4">
      <w:pPr>
        <w:pStyle w:val="3"/>
        <w:spacing w:before="0" w:beforeAutospacing="0" w:after="0" w:afterAutospacing="0"/>
        <w:rPr>
          <w:rFonts w:asciiTheme="minorHAnsi" w:hAnsiTheme="minorHAnsi" w:cstheme="minorHAnsi"/>
          <w:lang/>
        </w:rPr>
      </w:pPr>
      <w:r w:rsidRPr="00F36AFD">
        <w:rPr>
          <w:rFonts w:asciiTheme="minorHAnsi" w:hAnsiTheme="minorHAnsi" w:cstheme="minorHAnsi"/>
          <w:lang/>
        </w:rPr>
        <w:t>A propos de FSP</w:t>
      </w:r>
    </w:p>
    <w:p w:rsidR="001A66B4" w:rsidRPr="00F36AFD" w:rsidRDefault="001A66B4">
      <w:pPr>
        <w:rPr>
          <w:rFonts w:asciiTheme="minorHAnsi" w:hAnsiTheme="minorHAnsi" w:cstheme="minorHAnsi"/>
          <w:lang/>
        </w:rPr>
      </w:pPr>
      <w:r w:rsidRPr="00F36AFD">
        <w:rPr>
          <w:rFonts w:asciiTheme="minorHAnsi" w:hAnsiTheme="minorHAnsi" w:cstheme="minorHAnsi"/>
          <w:lang/>
        </w:rPr>
        <w:t>Fondé en 1993 et parmi les leaders mondiaux des fournisseurs d’alimentations électriques, FSP Group (3015: Taiwan) répond aux demandes variées des utilisateurs dans les alimentations avec son é</w:t>
      </w:r>
      <w:r w:rsidRPr="00F36AFD">
        <w:rPr>
          <w:rFonts w:asciiTheme="minorHAnsi" w:hAnsiTheme="minorHAnsi" w:cstheme="minorHAnsi"/>
          <w:lang/>
        </w:rPr>
        <w:t>quipe R&amp;D forte de 400 personnes, sa capacité de production robuste et ses lignes de production complètes. Avec plus de 500 modèles certifiés par les normes 80 PLUS, FSP est numéro un au monde en certifications 80 PLUS. FSP utilise des technologies écologi</w:t>
      </w:r>
      <w:r w:rsidRPr="00F36AFD">
        <w:rPr>
          <w:rFonts w:asciiTheme="minorHAnsi" w:hAnsiTheme="minorHAnsi" w:cstheme="minorHAnsi"/>
          <w:lang/>
        </w:rPr>
        <w:t xml:space="preserve">ques en offrant la meilleure protection de l’environnement et des produits de qualité. </w:t>
      </w:r>
      <w:hyperlink r:id="rId15" w:tgtFrame="_blank" w:history="1">
        <w:r w:rsidRPr="00F36AFD">
          <w:rPr>
            <w:rStyle w:val="a3"/>
            <w:rFonts w:asciiTheme="minorHAnsi" w:hAnsiTheme="minorHAnsi" w:cstheme="minorHAnsi"/>
            <w:lang/>
          </w:rPr>
          <w:t>www.fsp-group.com</w:t>
        </w:r>
      </w:hyperlink>
      <w:r w:rsidRPr="00F36AFD">
        <w:rPr>
          <w:rFonts w:asciiTheme="minorHAnsi" w:hAnsiTheme="minorHAnsi" w:cstheme="minorHAnsi"/>
          <w:lang/>
        </w:rPr>
        <w:t xml:space="preserve"> </w:t>
      </w:r>
    </w:p>
    <w:sectPr w:rsidR="001A66B4" w:rsidRPr="00F36AF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6B4" w:rsidRDefault="001A66B4" w:rsidP="00F36AFD">
      <w:r>
        <w:separator/>
      </w:r>
    </w:p>
  </w:endnote>
  <w:endnote w:type="continuationSeparator" w:id="0">
    <w:p w:rsidR="001A66B4" w:rsidRDefault="001A66B4" w:rsidP="00F3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6B4" w:rsidRDefault="001A66B4" w:rsidP="00F36AFD">
      <w:r>
        <w:separator/>
      </w:r>
    </w:p>
  </w:footnote>
  <w:footnote w:type="continuationSeparator" w:id="0">
    <w:p w:rsidR="001A66B4" w:rsidRDefault="001A66B4" w:rsidP="00F36A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F36AFD"/>
    <w:rsid w:val="001A66B4"/>
    <w:rsid w:val="00F36A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F36AFD"/>
    <w:pPr>
      <w:tabs>
        <w:tab w:val="center" w:pos="4153"/>
        <w:tab w:val="right" w:pos="8306"/>
      </w:tabs>
      <w:snapToGrid w:val="0"/>
    </w:pPr>
    <w:rPr>
      <w:sz w:val="20"/>
      <w:szCs w:val="20"/>
    </w:rPr>
  </w:style>
  <w:style w:type="character" w:customStyle="1" w:styleId="a6">
    <w:name w:val="頁首 字元"/>
    <w:basedOn w:val="a0"/>
    <w:link w:val="a5"/>
    <w:uiPriority w:val="99"/>
    <w:semiHidden/>
    <w:rsid w:val="00F36AFD"/>
    <w:rPr>
      <w:rFonts w:ascii="新細明體" w:eastAsia="新細明體" w:hAnsi="新細明體" w:cs="新細明體"/>
    </w:rPr>
  </w:style>
  <w:style w:type="paragraph" w:styleId="a7">
    <w:name w:val="footer"/>
    <w:basedOn w:val="a"/>
    <w:link w:val="a8"/>
    <w:uiPriority w:val="99"/>
    <w:semiHidden/>
    <w:unhideWhenUsed/>
    <w:rsid w:val="00F36AFD"/>
    <w:pPr>
      <w:tabs>
        <w:tab w:val="center" w:pos="4153"/>
        <w:tab w:val="right" w:pos="8306"/>
      </w:tabs>
      <w:snapToGrid w:val="0"/>
    </w:pPr>
    <w:rPr>
      <w:sz w:val="20"/>
      <w:szCs w:val="20"/>
    </w:rPr>
  </w:style>
  <w:style w:type="character" w:customStyle="1" w:styleId="a8">
    <w:name w:val="頁尾 字元"/>
    <w:basedOn w:val="a0"/>
    <w:link w:val="a7"/>
    <w:uiPriority w:val="99"/>
    <w:semiHidden/>
    <w:rsid w:val="00F36AF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tzHOptErA" TargetMode="External"/><Relationship Id="rId13" Type="http://schemas.openxmlformats.org/officeDocument/2006/relationships/hyperlink" Target="http://www.linkedin.com/company/1842554" TargetMode="External"/><Relationship Id="rId3" Type="http://schemas.openxmlformats.org/officeDocument/2006/relationships/webSettings" Target="webSettings.xml"/><Relationship Id="rId7" Type="http://schemas.openxmlformats.org/officeDocument/2006/relationships/hyperlink" Target="https://www.fsplifestyle.com/en/product/DAGGERPRO750W.html" TargetMode="External"/><Relationship Id="rId12" Type="http://schemas.openxmlformats.org/officeDocument/2006/relationships/hyperlink" Target="http://www.facebook.com/FSP.globa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splifestyle.com/en/product/DAGGERPRO850W.html" TargetMode="External"/><Relationship Id="rId11" Type="http://schemas.openxmlformats.org/officeDocument/2006/relationships/hyperlink" Target="https://blog.fsp-group.com/en/" TargetMode="External"/><Relationship Id="rId5" Type="http://schemas.openxmlformats.org/officeDocument/2006/relationships/endnotes" Target="endnotes.xml"/><Relationship Id="rId15" Type="http://schemas.openxmlformats.org/officeDocument/2006/relationships/hyperlink" Target="http://www.fsp-group.com/" TargetMode="External"/><Relationship Id="rId10" Type="http://schemas.openxmlformats.org/officeDocument/2006/relationships/hyperlink" Target="http://www.fsplifestyle.com/" TargetMode="External"/><Relationship Id="rId4" Type="http://schemas.openxmlformats.org/officeDocument/2006/relationships/footnotes" Target="footnotes.xml"/><Relationship Id="rId9" Type="http://schemas.openxmlformats.org/officeDocument/2006/relationships/hyperlink" Target="http://www.fsp-group.com/" TargetMode="External"/><Relationship Id="rId14" Type="http://schemas.openxmlformats.org/officeDocument/2006/relationships/hyperlink" Target="https://twitter.com/FSP_F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lance ses alimentations DAGGER PRO SFX 750W/850W</dc:title>
  <dc:creator>Sandy</dc:creator>
  <cp:lastModifiedBy>Sandy</cp:lastModifiedBy>
  <cp:revision>2</cp:revision>
  <dcterms:created xsi:type="dcterms:W3CDTF">2021-06-28T03:35:00Z</dcterms:created>
  <dcterms:modified xsi:type="dcterms:W3CDTF">2021-06-28T03:35:00Z</dcterms:modified>
</cp:coreProperties>
</file>