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Global Startups Set Their Sights on Taiwan</w:t>
      </w:r>
    </w:p>
    <w:p>
      <w:pPr>
        <w:pStyle w:val="2"/>
        <w:keepNext w:val="false"/>
        <w:spacing w:before="299" w:after="299"/>
        <w:jc w:val="center"/>
        <w:outlineLvl w:val="9"/>
        <w:rPr>
          <w:sz w:val="26"/>
          <w:szCs w:val="26"/>
        </w:rPr>
      </w:pPr>
      <w:r>
        <w:rPr>
          <w:rFonts w:eastAsia="Times New Roman" w:cs="Times New Roman"/>
          <w:i/>
          <w:sz w:val="26"/>
          <w:szCs w:val="26"/>
          <w:lang w:val="en-US" w:eastAsia="en-US"/>
        </w:rPr>
        <w:t>Record-breaking Applications for the 2024 Garage+ Startup Global Program</w:t>
      </w:r>
    </w:p>
    <w:p>
      <w:pPr>
        <w:pStyle w:val="Normal"/>
        <w:rPr>
          <w:b/>
          <w:b/>
          <w:bCs/>
          <w:sz w:val="24"/>
          <w:szCs w:val="24"/>
          <w:lang w:val="en-US" w:eastAsia="en-US"/>
        </w:rPr>
      </w:pPr>
      <w:r>
        <w:rPr>
          <w:b/>
          <w:bCs/>
          <w:lang w:val="en-US" w:eastAsia="en-US"/>
        </w:rPr>
        <w:t xml:space="preserve">Taipei, Taiwan, November 26th, 2024 - </w:t>
      </w:r>
      <w:r>
        <w:rPr>
          <w:lang w:val="en-US" w:eastAsia="en-US"/>
        </w:rPr>
        <w:t xml:space="preserve">Taiwan’s 2024 Garage+ Startup Global Program is reaching new heights, with a record number of worldwide applications. The new #F24 batch features 31 exceptional startups, including 16 from Taiwan and 15 from the US, UK, Japan, Switzerland, Sweden, and Chile. </w:t>
        <w:br/>
        <w:br/>
        <w:t>These startups were chosen from 330 applicants from 45 countries, underscoring the global allure of the program. The diversity is striking. There are Taiwanese companies showcasing cutting-edge innovations in fields such as AI technology and sustainable living, and international startups with expertise in areas like space technology, the Internet of Things (IoT), smart manufacturing, and advanced materials.</w:t>
        <w:br/>
        <w:br/>
        <w:t>The international startups will arrive in Taiwan December 1-7 for business matching meetings and the Garage+ Open House. With the support of the Garage+ program, these startups can scale their innovative technologies on a global level, leveraging Taiwan’s strategic position in technology and manufacturing sectors.</w:t>
        <w:br/>
      </w:r>
    </w:p>
    <w:p>
      <w:pPr>
        <w:pStyle w:val="3"/>
        <w:keepNext w:val="false"/>
        <w:pBdr/>
        <w:spacing w:before="0" w:after="0"/>
        <w:outlineLvl w:val="9"/>
        <w:rPr>
          <w:sz w:val="26"/>
          <w:szCs w:val="26"/>
        </w:rPr>
      </w:pPr>
      <w:r>
        <w:rPr>
          <w:rFonts w:eastAsia="Times New Roman" w:cs="Times New Roman"/>
          <w:i w:val="false"/>
          <w:sz w:val="26"/>
          <w:szCs w:val="26"/>
          <w:lang w:val="en-US" w:eastAsia="en-US"/>
        </w:rPr>
        <w:t>Advances in vision sensors, microLEDs and textile development</w:t>
      </w:r>
    </w:p>
    <w:p>
      <w:pPr>
        <w:pStyle w:val="Normal"/>
        <w:rPr>
          <w:sz w:val="24"/>
          <w:szCs w:val="24"/>
          <w:lang w:val="en-US" w:eastAsia="en-US"/>
        </w:rPr>
      </w:pPr>
      <w:r>
        <w:rPr>
          <w:lang w:val="en-US" w:eastAsia="en-US"/>
        </w:rPr>
        <w:t xml:space="preserve">Among the selected startups is </w:t>
      </w:r>
      <w:r>
        <w:rPr>
          <w:b/>
          <w:bCs/>
          <w:lang w:val="en-US" w:eastAsia="en-US"/>
        </w:rPr>
        <w:t>Oculi</w:t>
      </w:r>
      <w:r>
        <w:rPr>
          <w:lang w:val="en-US" w:eastAsia="en-US"/>
        </w:rPr>
        <w:t>, a leading innovator in vision sensor technology. The company is developing the world’s first Software-Defined Vision Sensor. Oculi's proprietary IntelliPixel™ architecture processes data on the sensor itself, at the pixel level, enhancing flexibility, power efficiency, and processing speed. This technology promises to significantly enhance AI applications across industries such as robotics, autonomous vehicles, and healthcare.</w:t>
        <w:br/>
        <w:br/>
      </w:r>
      <w:r>
        <w:rPr>
          <w:b/>
          <w:bCs/>
          <w:lang w:val="en-US" w:eastAsia="en-US"/>
        </w:rPr>
        <w:t>Rayleigh Vision Intelligence</w:t>
      </w:r>
      <w:r>
        <w:rPr>
          <w:lang w:val="en-US" w:eastAsia="en-US"/>
        </w:rPr>
        <w:t xml:space="preserve"> is developing in innovative 3D approach to MicroLED displays, in which red, green and blue pixels are stacked vertically. This can provide greatly enhanced resolution compared to the traditional side-by-side arrangement of MicroLED pixels. Applications include AR/VR and smartwatches. </w:t>
        <w:br/>
        <w:br/>
      </w:r>
      <w:r>
        <w:rPr>
          <w:b/>
          <w:bCs/>
          <w:lang w:val="en-US" w:eastAsia="en-US"/>
        </w:rPr>
        <w:t>NunoX Technology’s</w:t>
      </w:r>
      <w:r>
        <w:rPr>
          <w:lang w:val="en-US" w:eastAsia="en-US"/>
        </w:rPr>
        <w:t xml:space="preserve"> Digital Textile Twin process, which virtually replicates the appearance, texture, and physical properties of fabrics in high fidelity, has already been adopted by customers from the London College of Fashion to Herman Miller to Under Armor. The technology can cut product development workflow from the standard eight months to just four months. </w:t>
        <w:br/>
        <w:br/>
        <w:t xml:space="preserve">(A full list of the selected startups can be found below.) </w:t>
        <w:br/>
      </w:r>
    </w:p>
    <w:p>
      <w:pPr>
        <w:pStyle w:val="3"/>
        <w:keepNext w:val="false"/>
        <w:pBdr/>
        <w:spacing w:before="0" w:after="0"/>
        <w:outlineLvl w:val="9"/>
        <w:rPr>
          <w:sz w:val="26"/>
          <w:szCs w:val="26"/>
        </w:rPr>
      </w:pPr>
      <w:r>
        <w:rPr>
          <w:rFonts w:eastAsia="Times New Roman" w:cs="Times New Roman"/>
          <w:i w:val="false"/>
          <w:sz w:val="26"/>
          <w:szCs w:val="26"/>
          <w:lang w:val="en-US" w:eastAsia="en-US"/>
        </w:rPr>
        <w:t>Taiwan's Strategic Advantage for Global Startups</w:t>
      </w:r>
    </w:p>
    <w:p>
      <w:pPr>
        <w:pStyle w:val="Normal"/>
        <w:rPr>
          <w:sz w:val="24"/>
          <w:szCs w:val="24"/>
          <w:lang w:val="en-US" w:eastAsia="en-US"/>
        </w:rPr>
      </w:pPr>
      <w:r>
        <w:rPr>
          <w:lang w:val="en-US" w:eastAsia="en-US"/>
        </w:rPr>
        <w:t>Taiwan’s appeal to startups is its advanced hardware design, development, and manufacturing infrastructure, and its robust corporate resource network. Leading Taiwanese companies, including Wistron, Quanta Computer, Delta Electronics, Pegatron, Fubon Venture Capital, and CDIB Capital Venture, support with over 500 high-level one-on-one meetings annually. This lets international startups connect with key industry players in Taiwan, for collaboration and partnerships.</w:t>
        <w:br/>
        <w:br/>
        <w:t xml:space="preserve">Of almost 300 startup teams accepted to date, about one-third have established production and investment partnerships with Taiwanese companies. Some of these Garage+ Fellows have also opened subsidiaries and offices in Taiwan. The program is supported by Taiwan’s National Development Council and Asia Silicon Valley Development Agency. </w:t>
        <w:br/>
      </w:r>
    </w:p>
    <w:p>
      <w:pPr>
        <w:pStyle w:val="3"/>
        <w:keepNext w:val="false"/>
        <w:pBdr/>
        <w:spacing w:before="0" w:after="0"/>
        <w:outlineLvl w:val="9"/>
        <w:rPr>
          <w:sz w:val="26"/>
          <w:szCs w:val="26"/>
        </w:rPr>
      </w:pPr>
      <w:r>
        <w:rPr>
          <w:rFonts w:eastAsia="Times New Roman" w:cs="Times New Roman"/>
          <w:i w:val="false"/>
          <w:sz w:val="26"/>
          <w:szCs w:val="26"/>
          <w:lang w:val="en-US" w:eastAsia="en-US"/>
        </w:rPr>
        <w:t>Insights from successful Garage+ Fellows</w:t>
      </w:r>
    </w:p>
    <w:p>
      <w:pPr>
        <w:pStyle w:val="Normal"/>
        <w:rPr>
          <w:sz w:val="24"/>
          <w:szCs w:val="24"/>
          <w:lang w:val="en-US" w:eastAsia="en-US"/>
        </w:rPr>
      </w:pPr>
      <w:r>
        <w:rPr>
          <w:lang w:val="en-US" w:eastAsia="en-US"/>
        </w:rPr>
        <w:t>“</w:t>
      </w:r>
      <w:r>
        <w:rPr>
          <w:lang w:val="en-US" w:eastAsia="en-US"/>
        </w:rPr>
        <w:t>Garage+ provided us an excellent platform to interact with Taiwan stakeholders. It has been instrumental in coordinating meetings with key stakeholders, making it easier for us to expand our business,” said Anurag Meena, Co-founder and COO of NeoDocs, an India-based startup that quantifies biomarkers using just a smartphone and proprietary test card.</w:t>
        <w:br/>
        <w:br/>
        <w:t>Firas Khalifeh, CEO of Berlin-based CarbonMobile, which replaces metals with advanced composites in consumer electronics, said, “We’re grateful to Garage+ for hosting us at COMPUTEX and helping us connect with investors, manufacturers, and big corporations in Taiwan. Garage+ provides us one-on-one meetings with key partners pivotal to our global expansion. We’re excited to continue our partnership with Taiwan’s thriving ecosystem.”</w:t>
        <w:br/>
      </w:r>
    </w:p>
    <w:p>
      <w:pPr>
        <w:pStyle w:val="3"/>
        <w:keepNext w:val="false"/>
        <w:pBdr/>
        <w:spacing w:before="0" w:after="0"/>
        <w:outlineLvl w:val="9"/>
        <w:rPr>
          <w:sz w:val="26"/>
          <w:szCs w:val="26"/>
        </w:rPr>
      </w:pPr>
      <w:r>
        <w:rPr>
          <w:rFonts w:eastAsia="Times New Roman" w:cs="Times New Roman"/>
          <w:i w:val="false"/>
          <w:sz w:val="26"/>
          <w:szCs w:val="26"/>
          <w:lang w:val="en-US" w:eastAsia="en-US"/>
        </w:rPr>
        <w:t>List of international Startups</w:t>
      </w:r>
    </w:p>
    <w:tbl>
      <w:tblPr>
        <w:tblW w:w="5000" w:type="pct"/>
        <w:jc w:val="left"/>
        <w:tblInd w:w="68" w:type="dxa"/>
        <w:tblLayout w:type="fixed"/>
        <w:tblCellMar>
          <w:top w:w="68" w:type="dxa"/>
          <w:left w:w="60" w:type="dxa"/>
          <w:bottom w:w="60" w:type="dxa"/>
          <w:right w:w="68" w:type="dxa"/>
        </w:tblCellMar>
      </w:tblPr>
      <w:tblGrid>
        <w:gridCol w:w="1872"/>
        <w:gridCol w:w="2807"/>
        <w:gridCol w:w="4681"/>
      </w:tblGrid>
      <w:tr>
        <w:trPr/>
        <w:tc>
          <w:tcPr>
            <w:tcW w:w="1872" w:type="dxa"/>
            <w:tcBorders>
              <w:top w:val="single" w:sz="6" w:space="0" w:color="808080"/>
              <w:left w:val="single" w:sz="6" w:space="0" w:color="808080"/>
              <w:right w:val="single" w:sz="6" w:space="0" w:color="808080"/>
            </w:tcBorders>
          </w:tcPr>
          <w:p>
            <w:pPr>
              <w:pStyle w:val="Normal"/>
              <w:widowControl w:val="false"/>
              <w:spacing w:before="240" w:after="240"/>
              <w:jc w:val="left"/>
              <w:rPr>
                <w:rFonts w:ascii="Times New Roman" w:hAnsi="Times New Roman"/>
              </w:rPr>
            </w:pPr>
            <w:r>
              <w:rPr>
                <w:rFonts w:eastAsia="Arial" w:cs="Arial" w:ascii="Times New Roman" w:hAnsi="Times New Roman"/>
                <w:b/>
                <w:bCs/>
                <w:color w:val="000000"/>
                <w:sz w:val="21"/>
                <w:szCs w:val="21"/>
                <w:lang w:val="en-US" w:eastAsia="en-US"/>
              </w:rPr>
              <w:t>Company</w:t>
            </w:r>
          </w:p>
        </w:tc>
        <w:tc>
          <w:tcPr>
            <w:tcW w:w="2807" w:type="dxa"/>
            <w:tcBorders>
              <w:top w:val="single" w:sz="6" w:space="0" w:color="808080"/>
              <w:right w:val="single" w:sz="6" w:space="0" w:color="808080"/>
            </w:tcBorders>
          </w:tcPr>
          <w:p>
            <w:pPr>
              <w:pStyle w:val="Normal"/>
              <w:widowControl w:val="false"/>
              <w:spacing w:before="240" w:after="240"/>
              <w:jc w:val="left"/>
              <w:rPr>
                <w:rFonts w:ascii="Times New Roman" w:hAnsi="Times New Roman"/>
              </w:rPr>
            </w:pPr>
            <w:r>
              <w:rPr>
                <w:rFonts w:eastAsia="Arial" w:cs="Arial" w:ascii="Times New Roman" w:hAnsi="Times New Roman"/>
                <w:b/>
                <w:bCs/>
                <w:color w:val="000000"/>
                <w:sz w:val="21"/>
                <w:szCs w:val="21"/>
                <w:lang w:val="en-US" w:eastAsia="en-US"/>
              </w:rPr>
              <w:t>Nation</w:t>
            </w:r>
          </w:p>
        </w:tc>
        <w:tc>
          <w:tcPr>
            <w:tcW w:w="4681" w:type="dxa"/>
            <w:tcBorders>
              <w:top w:val="single" w:sz="6" w:space="0" w:color="808080"/>
              <w:right w:val="single" w:sz="6" w:space="0" w:color="808080"/>
            </w:tcBorders>
          </w:tcPr>
          <w:p>
            <w:pPr>
              <w:pStyle w:val="Normal"/>
              <w:widowControl w:val="false"/>
              <w:spacing w:before="240" w:after="240"/>
              <w:jc w:val="left"/>
              <w:rPr>
                <w:rFonts w:ascii="Times New Roman" w:hAnsi="Times New Roman"/>
              </w:rPr>
            </w:pPr>
            <w:r>
              <w:rPr>
                <w:rFonts w:eastAsia="Arial" w:cs="Arial" w:ascii="Times New Roman" w:hAnsi="Times New Roman"/>
                <w:b/>
                <w:bCs/>
                <w:color w:val="000000"/>
                <w:sz w:val="21"/>
                <w:szCs w:val="21"/>
                <w:lang w:val="en-US" w:eastAsia="en-US"/>
              </w:rPr>
              <w:t>Introduction</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3D Architech</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US</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AI chip cooling with 3D printed cold plates</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Consenz International</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Sweden</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Affordable retrofit Heads-up display for vehicles</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CYSEC</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Switzerland</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Secure high-performance satellite comms</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Emsense</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Sweden</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Contactless heart and respiration monitoring</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Kisui TECH</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Japan</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AI Robotics for agricultural sustainability</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Oculi</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US</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Software-Defined Vision Sensor</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Skyline Nav AI</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US</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Navigate without GPS, cellular, or WiFi</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Smart Audio Technologies</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UK</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AI to enable clear communication in noisy places</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SteraVision</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Japan</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Groudbreaking solid-state LiDAR, ideal for vehicles</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Synthara</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Switzerland</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In-memory computing for embedded chips, boosting speed and energy-efficiency 100x</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TopoLogic</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Japan</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Efficient memory with quantum material physics</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ugo</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Japan</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Robot and management platform</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Warpspace</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Japan</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Optical inter-satellite data relay networks</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XELA Robotics</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Japan</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Giving a human sense of touch to robots</w:t>
            </w:r>
          </w:p>
        </w:tc>
      </w:tr>
      <w:tr>
        <w:trPr/>
        <w:tc>
          <w:tcPr>
            <w:tcW w:w="1872"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Innspatial Technologies</w:t>
            </w:r>
          </w:p>
        </w:tc>
        <w:tc>
          <w:tcPr>
            <w:tcW w:w="2807"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Chile</w:t>
            </w:r>
          </w:p>
        </w:tc>
        <w:tc>
          <w:tcPr>
            <w:tcW w:w="4681" w:type="dxa"/>
            <w:tcBorders>
              <w:top w:val="single" w:sz="6" w:space="0" w:color="808080"/>
              <w:left w:val="single" w:sz="6" w:space="0" w:color="808080"/>
              <w:bottom w:val="single" w:sz="6" w:space="0" w:color="808080"/>
              <w:right w:val="single" w:sz="6" w:space="0" w:color="808080"/>
            </w:tcBorders>
            <w:tcMar>
              <w:left w:w="68" w:type="dxa"/>
              <w:bottom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Reducing AI energy use</w:t>
            </w:r>
          </w:p>
        </w:tc>
      </w:tr>
    </w:tbl>
    <w:p>
      <w:pPr>
        <w:pStyle w:val="Normal"/>
        <w:rPr>
          <w:sz w:val="24"/>
          <w:szCs w:val="24"/>
          <w:lang w:val="en-US" w:eastAsia="en-US"/>
        </w:rPr>
      </w:pPr>
      <w:r>
        <w:rPr>
          <w:sz w:val="24"/>
          <w:szCs w:val="24"/>
          <w:lang w:val="en-US" w:eastAsia="en-US"/>
        </w:rPr>
      </w:r>
    </w:p>
    <w:p>
      <w:pPr>
        <w:pStyle w:val="3"/>
        <w:keepNext w:val="false"/>
        <w:pBdr/>
        <w:spacing w:before="0" w:after="0"/>
        <w:outlineLvl w:val="9"/>
        <w:rPr>
          <w:sz w:val="26"/>
          <w:szCs w:val="26"/>
        </w:rPr>
      </w:pPr>
      <w:r>
        <w:rPr>
          <w:rFonts w:eastAsia="Times New Roman" w:cs="Times New Roman"/>
          <w:i w:val="false"/>
          <w:sz w:val="26"/>
          <w:szCs w:val="26"/>
          <w:lang w:val="en-US" w:eastAsia="en-US"/>
        </w:rPr>
        <w:t>List of Taiwanese Startups</w:t>
      </w:r>
    </w:p>
    <w:tbl>
      <w:tblPr>
        <w:tblW w:w="5000" w:type="pct"/>
        <w:jc w:val="left"/>
        <w:tblInd w:w="68" w:type="dxa"/>
        <w:tblLayout w:type="fixed"/>
        <w:tblCellMar>
          <w:top w:w="68" w:type="dxa"/>
          <w:left w:w="60" w:type="dxa"/>
          <w:bottom w:w="68" w:type="dxa"/>
          <w:right w:w="68" w:type="dxa"/>
        </w:tblCellMar>
      </w:tblPr>
      <w:tblGrid>
        <w:gridCol w:w="2674"/>
        <w:gridCol w:w="6685"/>
      </w:tblGrid>
      <w:tr>
        <w:trPr/>
        <w:tc>
          <w:tcPr>
            <w:tcW w:w="2674" w:type="dxa"/>
            <w:tcBorders>
              <w:top w:val="single" w:sz="6" w:space="0" w:color="808080"/>
              <w:left w:val="single" w:sz="6" w:space="0" w:color="808080"/>
              <w:bottom w:val="single" w:sz="6" w:space="0" w:color="808080"/>
              <w:right w:val="single" w:sz="6" w:space="0" w:color="808080"/>
            </w:tcBorders>
          </w:tcPr>
          <w:p>
            <w:pPr>
              <w:pStyle w:val="Normal"/>
              <w:widowControl w:val="false"/>
              <w:spacing w:before="240" w:after="240"/>
              <w:jc w:val="left"/>
              <w:rPr>
                <w:rFonts w:ascii="Times New Roman" w:hAnsi="Times New Roman"/>
              </w:rPr>
            </w:pPr>
            <w:r>
              <w:rPr>
                <w:rFonts w:eastAsia="Arial" w:cs="Arial" w:ascii="Times New Roman" w:hAnsi="Times New Roman"/>
                <w:b/>
                <w:bCs/>
                <w:color w:val="000000"/>
                <w:sz w:val="21"/>
                <w:szCs w:val="21"/>
                <w:lang w:val="en-US" w:eastAsia="en-US"/>
              </w:rPr>
              <w:t>Company</w:t>
            </w:r>
          </w:p>
        </w:tc>
        <w:tc>
          <w:tcPr>
            <w:tcW w:w="6685" w:type="dxa"/>
            <w:tcBorders>
              <w:top w:val="single" w:sz="6" w:space="0" w:color="808080"/>
              <w:bottom w:val="single" w:sz="6" w:space="0" w:color="808080"/>
              <w:right w:val="single" w:sz="6" w:space="0" w:color="808080"/>
            </w:tcBorders>
          </w:tcPr>
          <w:p>
            <w:pPr>
              <w:pStyle w:val="Normal"/>
              <w:widowControl w:val="false"/>
              <w:spacing w:before="240" w:after="240"/>
              <w:jc w:val="left"/>
              <w:rPr>
                <w:rFonts w:ascii="Times New Roman" w:hAnsi="Times New Roman"/>
              </w:rPr>
            </w:pPr>
            <w:r>
              <w:rPr>
                <w:rFonts w:eastAsia="Arial" w:cs="Arial" w:ascii="Times New Roman" w:hAnsi="Times New Roman"/>
                <w:b/>
                <w:bCs/>
                <w:color w:val="000000"/>
                <w:sz w:val="21"/>
                <w:szCs w:val="21"/>
                <w:lang w:val="en-US" w:eastAsia="en-US"/>
              </w:rPr>
              <w:t>Introduction</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AIRECO</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Advanced recycling systems using AI</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APMIC</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Making natural language understanding technology and localized large language models easy to use for companies</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Crescendo Lab</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Providing marketing and sales technology solutions</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DataXquad</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Platform to build partnership networks for AI businesses</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Eslitec</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Easy-to-develop conversational business platform promoting local economic growth and technology introduction</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GliaCloud</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High-quality AI-driven video creation and distribution</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Lithography Semiconductor Equipment</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AI cluster tool for non-polluting low-carbon device manufacturing</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MetAI Technology</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Transforming smart manufacturing with digital twins, synthetic data, and generative models</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metabiz</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Digital solutions for membership management, appointments, online stores, payment, marketing automation, and analytics</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Morale AI</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Advanced AI solutions for smart manufacturing and ESG</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NunoX Technology</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Advanced simulation to accelerate textile product development</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OneworkTech</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Large-scale 3D data management platform for spatial data</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Rayleigh Vision Intelligence</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Stacked MicroLED technology to achieve ultra-high resolution</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Spatial Topology</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Addressing the problem of indoor GPS unavailability</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Vossic Technology</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Comprehensive Industry 4.0 solutions</w:t>
            </w:r>
          </w:p>
        </w:tc>
      </w:tr>
      <w:tr>
        <w:trPr/>
        <w:tc>
          <w:tcPr>
            <w:tcW w:w="2674"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bCs/>
                <w:sz w:val="21"/>
                <w:szCs w:val="21"/>
                <w:lang w:val="en-US" w:eastAsia="en-US"/>
              </w:rPr>
              <w:t>Wonders.ai</w:t>
            </w:r>
          </w:p>
        </w:tc>
        <w:tc>
          <w:tcPr>
            <w:tcW w:w="6685" w:type="dxa"/>
            <w:tcBorders>
              <w:top w:val="single" w:sz="6" w:space="0" w:color="808080"/>
              <w:left w:val="single" w:sz="6" w:space="0" w:color="808080"/>
              <w:bottom w:val="single" w:sz="6" w:space="0" w:color="808080"/>
              <w:right w:val="single" w:sz="6" w:space="0" w:color="808080"/>
            </w:tcBorders>
            <w:tcMar>
              <w:left w:w="68" w:type="dxa"/>
            </w:tcMar>
            <w:vAlign w:val="center"/>
          </w:tcPr>
          <w:p>
            <w:pPr>
              <w:pStyle w:val="Normal"/>
              <w:widowControl w:val="false"/>
              <w:spacing w:before="240" w:after="240"/>
              <w:jc w:val="left"/>
              <w:rPr>
                <w:rFonts w:ascii="Times New Roman" w:hAnsi="Times New Roman"/>
              </w:rPr>
            </w:pPr>
            <w:r>
              <w:rPr>
                <w:rFonts w:eastAsia="Arial" w:cs="Arial" w:ascii="Times New Roman" w:hAnsi="Times New Roman"/>
                <w:b w:val="false"/>
                <w:bCs w:val="false"/>
                <w:sz w:val="21"/>
                <w:szCs w:val="21"/>
                <w:lang w:val="en-US" w:eastAsia="en-US"/>
              </w:rPr>
              <w:t>Customized local AI to manage dynamic domain data securely</w:t>
            </w:r>
          </w:p>
        </w:tc>
      </w:tr>
    </w:tbl>
    <w:p>
      <w:pPr>
        <w:pStyle w:val="Normal"/>
        <w:rPr>
          <w:sz w:val="24"/>
          <w:szCs w:val="24"/>
          <w:lang w:val="en-US" w:eastAsia="en-US"/>
        </w:rPr>
      </w:pPr>
      <w:r>
        <w:rPr>
          <w:sz w:val="24"/>
          <w:szCs w:val="24"/>
          <w:lang w:val="en-US" w:eastAsia="en-US"/>
        </w:rPr>
      </w:r>
    </w:p>
    <w:p>
      <w:pPr>
        <w:pStyle w:val="3"/>
        <w:keepNext w:val="false"/>
        <w:pBdr/>
        <w:spacing w:before="0" w:after="0"/>
        <w:outlineLvl w:val="9"/>
        <w:rPr/>
      </w:pPr>
      <w:r>
        <w:rPr>
          <w:rFonts w:eastAsia="Times New Roman" w:cs="Times New Roman"/>
          <w:i w:val="false"/>
          <w:sz w:val="26"/>
          <w:szCs w:val="26"/>
          <w:lang w:val="en-US" w:eastAsia="en-US"/>
        </w:rPr>
        <w:t xml:space="preserve">About Garage+: </w:t>
      </w:r>
      <w:hyperlink r:id="rId2" w:tgtFrame="_blank">
        <w:r>
          <w:rPr>
            <w:rFonts w:eastAsia="Times New Roman" w:cs="Times New Roman"/>
            <w:i w:val="false"/>
            <w:color w:val="0000EE"/>
            <w:sz w:val="26"/>
            <w:szCs w:val="26"/>
            <w:u w:val="single" w:color="0000EE"/>
            <w:lang w:val="en-US" w:eastAsia="en-US"/>
          </w:rPr>
          <w:t>https://garageplus.asia/</w:t>
        </w:r>
      </w:hyperlink>
    </w:p>
    <w:p>
      <w:pPr>
        <w:pStyle w:val="Normal"/>
        <w:rPr>
          <w:sz w:val="24"/>
          <w:szCs w:val="24"/>
          <w:lang w:val="en-US" w:eastAsia="en-US"/>
        </w:rPr>
      </w:pPr>
      <w:r>
        <w:rPr>
          <w:lang w:val="en-US" w:eastAsia="en-US"/>
        </w:rPr>
        <w:t>Garage+ is a zero-equity incubator supported by Epoch Foundation. In 1998, Epoch initiated an educational program, Epoch School, to cultivate young talents' entrepreneurship. It has generated more than 80 startups. In 2008, Garage+ was founded to support entrepreneurs, focused on early-stage startups in AI, Big Data, IoT, Smart Device, Healthcare, and Green Tech. Since 2014, more than 608 startups have resided in Garage+, including 298 international startups.</w:t>
        <w:br/>
      </w:r>
    </w:p>
    <w:p>
      <w:pPr>
        <w:pStyle w:val="3"/>
        <w:keepNext w:val="false"/>
        <w:pBdr/>
        <w:spacing w:before="0" w:after="0"/>
        <w:outlineLvl w:val="9"/>
        <w:rPr>
          <w:sz w:val="26"/>
          <w:szCs w:val="26"/>
        </w:rPr>
      </w:pPr>
      <w:r>
        <w:rPr>
          <w:rFonts w:eastAsia="Times New Roman" w:cs="Times New Roman"/>
          <w:i w:val="false"/>
          <w:sz w:val="26"/>
          <w:szCs w:val="26"/>
          <w:lang w:val="en-US" w:eastAsia="en-US"/>
        </w:rPr>
        <w:t>Event details and registration</w:t>
      </w:r>
    </w:p>
    <w:p>
      <w:pPr>
        <w:pStyle w:val="Normal"/>
        <w:rPr>
          <w:sz w:val="24"/>
          <w:szCs w:val="24"/>
          <w:lang w:val="en-US" w:eastAsia="en-US"/>
        </w:rPr>
      </w:pPr>
      <w:r>
        <w:rPr>
          <w:lang w:val="en-US" w:eastAsia="en-US"/>
        </w:rPr>
        <w:t xml:space="preserve">Register for Open House: </w:t>
      </w:r>
      <w:hyperlink r:id="rId3" w:tgtFrame="_blank">
        <w:r>
          <w:rPr>
            <w:color w:val="0000EE"/>
            <w:u w:val="single" w:color="0000EE"/>
            <w:lang w:val="en-US" w:eastAsia="en-US"/>
          </w:rPr>
          <w:t>Here</w:t>
        </w:r>
      </w:hyperlink>
      <w:r>
        <w:rPr>
          <w:color w:val="0000EE"/>
          <w:u w:val="single" w:color="0000EE"/>
          <w:lang w:val="en-US" w:eastAsia="en-US"/>
        </w:rPr>
        <w:br/>
      </w:r>
      <w:r>
        <w:rPr>
          <w:lang w:val="en-US" w:eastAsia="en-US"/>
        </w:rPr>
        <w:t xml:space="preserve">2024 Must-See Startups: </w:t>
      </w:r>
      <w:hyperlink r:id="rId4" w:tgtFrame="_blank">
        <w:r>
          <w:rPr>
            <w:color w:val="0000EE"/>
            <w:u w:val="single" w:color="0000EE"/>
            <w:lang w:val="en-US" w:eastAsia="en-US"/>
          </w:rPr>
          <w:t>Link</w:t>
        </w:r>
      </w:hyperlink>
      <w:r>
        <w:rPr>
          <w:color w:val="0000EE"/>
          <w:u w:val="single" w:color="0000EE"/>
          <w:lang w:val="en-US" w:eastAsia="en-US"/>
        </w:rPr>
        <w:br/>
      </w:r>
      <w:r>
        <w:rPr>
          <w:lang w:val="en-US" w:eastAsia="en-US"/>
        </w:rPr>
        <w:t>Time: Tuesday, December 3, 2024, 15:00 – 18:00</w:t>
        <w:br/>
        <w:t>Venue: 9F, The 2nd Building, No. 96, Sec. 2, Zhongshan North Rd, Zhongshan District, Taipei, (</w:t>
      </w:r>
      <w:hyperlink r:id="rId5" w:tgtFrame="_blank">
        <w:r>
          <w:rPr>
            <w:color w:val="0000EE"/>
            <w:u w:val="single" w:color="0000EE"/>
            <w:lang w:val="en-US" w:eastAsia="en-US"/>
          </w:rPr>
          <w:t>Google Maps</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Press Contact</w:t>
      </w:r>
    </w:p>
    <w:p>
      <w:pPr>
        <w:pStyle w:val="Normal"/>
        <w:rPr>
          <w:sz w:val="24"/>
          <w:szCs w:val="24"/>
          <w:lang w:val="en-US" w:eastAsia="en-US"/>
        </w:rPr>
      </w:pPr>
      <w:r>
        <w:rPr>
          <w:lang w:val="en-US" w:eastAsia="en-US"/>
        </w:rPr>
        <w:t xml:space="preserve">Wendy Chien / </w:t>
      </w:r>
      <w:hyperlink r:id="rId6" w:tgtFrame="_blank">
        <w:r>
          <w:rPr>
            <w:color w:val="0000EE"/>
            <w:u w:val="single" w:color="0000EE"/>
            <w:lang w:val="en-US" w:eastAsia="en-US"/>
          </w:rPr>
          <w:t>wendy@epoch.org.tw</w:t>
        </w:r>
      </w:hyperlink>
      <w:r>
        <w:rPr>
          <w:lang w:val="en-US" w:eastAsia="en-US"/>
        </w:rPr>
        <w:t xml:space="preserve"> / +886-2-2511-2678 ext.12</w:t>
        <w:br/>
        <w:t xml:space="preserve">Min Chao / </w:t>
      </w:r>
      <w:hyperlink r:id="rId7" w:tgtFrame="_blank">
        <w:r>
          <w:rPr>
            <w:color w:val="0000EE"/>
            <w:u w:val="single" w:color="0000EE"/>
            <w:lang w:val="en-US" w:eastAsia="en-US"/>
          </w:rPr>
          <w:t>min@epoch.org.tw</w:t>
        </w:r>
      </w:hyperlink>
      <w:r>
        <w:rPr>
          <w:lang w:val="en-US" w:eastAsia="en-US"/>
        </w:rPr>
        <w:t xml:space="preserve"> / +886-2-2511-1215 ext.19</w:t>
        <w:br/>
      </w:r>
      <w:hyperlink r:id="rId8" w:tgtFrame="_blank">
        <w:r>
          <w:rPr>
            <w:color w:val="0000EE"/>
            <w:u w:val="single" w:color="0000EE"/>
            <w:lang w:val="en-US" w:eastAsia="en-US"/>
          </w:rPr>
          <w:t>https://epoch.org.tw/</w:t>
        </w:r>
      </w:hyperlink>
      <w:r>
        <w:rPr>
          <w:lang w:val="en-US" w:eastAsia="en-US"/>
        </w:rPr>
        <w:t xml:space="preserve"> </w:t>
      </w:r>
      <w:hyperlink r:id="rId9" w:tgtFrame="_blank">
        <w:r>
          <w:rPr>
            <w:color w:val="0000EE"/>
            <w:u w:val="single" w:color="0000EE"/>
            <w:lang w:val="en-US" w:eastAsia="en-US"/>
          </w:rPr>
          <w:t xml:space="preserve">https://garageplus.asia/ </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rageplus.asia/" TargetMode="External"/><Relationship Id="rId3" Type="http://schemas.openxmlformats.org/officeDocument/2006/relationships/hyperlink" Target="https://twepoch.org/2024OpenHouse_InvitationMail1" TargetMode="External"/><Relationship Id="rId4" Type="http://schemas.openxmlformats.org/officeDocument/2006/relationships/hyperlink" Target="https://garageplus.asia/2024_sgp/" TargetMode="External"/><Relationship Id="rId5" Type="http://schemas.openxmlformats.org/officeDocument/2006/relationships/hyperlink" Target="https://garageplus-dot-yamm-track.appspot.com/2ZrbZ95_ToFI2pO5M0vkH7i73EtfDto8aDMtH5Hnvo-WpN2HLiwGH9wLmceXq_iZrOHXTagvPkpSQB1MycShwa1GXOWJFB0uYMUvVHcOrykE8j4jcfMTpx82wmmqHZqezsWgn6HlZPntMYZGUt4H_V1SrdbUG4omnDMMYVC1f5CP4EmZy298hMQ6EMctAVu7uG0HhmsPE6hk" TargetMode="External"/><Relationship Id="rId6" Type="http://schemas.openxmlformats.org/officeDocument/2006/relationships/hyperlink" Target="mailto:wendy@epoch.org.tw" TargetMode="External"/><Relationship Id="rId7" Type="http://schemas.openxmlformats.org/officeDocument/2006/relationships/hyperlink" Target="mailto:min@epoch.org.tw" TargetMode="External"/><Relationship Id="rId8" Type="http://schemas.openxmlformats.org/officeDocument/2006/relationships/hyperlink" Target="https://epoch.org.tw/" TargetMode="External"/><Relationship Id="rId9" Type="http://schemas.openxmlformats.org/officeDocument/2006/relationships/hyperlink" Target="https://garageplus.asia/" TargetMode="Externa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5</Pages>
  <Words>996</Words>
  <Characters>6399</Characters>
  <CharactersWithSpaces>7317</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2024-11-25T16:16:52Z</dcterms:modified>
  <cp:revision>1</cp:revision>
  <dc:subject/>
  <dc:title>Global Startups Set Their Sights on Taiwan</dc:title>
</cp:coreProperties>
</file>

<file path=docProps/custom.xml><?xml version="1.0" encoding="utf-8"?>
<Properties xmlns="http://schemas.openxmlformats.org/officeDocument/2006/custom-properties" xmlns:vt="http://schemas.openxmlformats.org/officeDocument/2006/docPropsVTypes"/>
</file>