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D8" w:rsidRPr="00353F3E" w:rsidRDefault="00195C53">
      <w:pPr>
        <w:rPr>
          <w:rFonts w:asciiTheme="minorHAnsi" w:hAnsiTheme="minorHAnsi" w:cstheme="minorHAnsi"/>
        </w:rPr>
      </w:pPr>
      <w:r w:rsidRPr="00353F3E">
        <w:rPr>
          <w:rFonts w:asciiTheme="minorHAnsi" w:hAnsiTheme="minorHAnsi" w:cstheme="minorHAnsi"/>
        </w:rPr>
        <w:t>FOR IMMEDIATE RELEASE</w:t>
      </w:r>
    </w:p>
    <w:p w:rsidR="00A600D8" w:rsidRPr="00353F3E" w:rsidRDefault="00195C53">
      <w:pPr>
        <w:pStyle w:val="1"/>
        <w:spacing w:before="0" w:beforeAutospacing="0" w:after="0" w:afterAutospacing="0"/>
        <w:jc w:val="center"/>
        <w:rPr>
          <w:rFonts w:asciiTheme="minorHAnsi" w:hAnsiTheme="minorHAnsi" w:cstheme="minorHAnsi"/>
        </w:rPr>
      </w:pPr>
      <w:r w:rsidRPr="00353F3E">
        <w:rPr>
          <w:rFonts w:asciiTheme="minorHAnsi" w:hAnsiTheme="minorHAnsi" w:cstheme="minorHAnsi"/>
        </w:rPr>
        <w:t>Philips 7000 series 4K UHD Android TVs Are Now Available in Malaysia</w:t>
      </w:r>
    </w:p>
    <w:p w:rsidR="00A600D8" w:rsidRPr="00353F3E" w:rsidRDefault="00195C53">
      <w:pPr>
        <w:pStyle w:val="2"/>
        <w:jc w:val="center"/>
        <w:rPr>
          <w:rFonts w:asciiTheme="minorHAnsi" w:hAnsiTheme="minorHAnsi" w:cstheme="minorHAnsi"/>
          <w:i/>
          <w:iCs/>
        </w:rPr>
      </w:pPr>
      <w:r w:rsidRPr="00353F3E">
        <w:rPr>
          <w:rFonts w:asciiTheme="minorHAnsi" w:hAnsiTheme="minorHAnsi" w:cstheme="minorHAnsi"/>
          <w:i/>
          <w:iCs/>
        </w:rPr>
        <w:t>Vibrant picture in a slim display, with sizes from 43 to 70-inch</w:t>
      </w:r>
    </w:p>
    <w:p w:rsidR="00A600D8" w:rsidRPr="00353F3E" w:rsidRDefault="00195C53">
      <w:pPr>
        <w:spacing w:after="240"/>
        <w:rPr>
          <w:rFonts w:asciiTheme="minorHAnsi" w:hAnsiTheme="minorHAnsi" w:cstheme="minorHAnsi"/>
        </w:rPr>
      </w:pPr>
      <w:proofErr w:type="spellStart"/>
      <w:r w:rsidRPr="00353F3E">
        <w:rPr>
          <w:rFonts w:asciiTheme="minorHAnsi" w:hAnsiTheme="minorHAnsi" w:cstheme="minorHAnsi"/>
          <w:b/>
          <w:bCs/>
        </w:rPr>
        <w:t>Petaling</w:t>
      </w:r>
      <w:proofErr w:type="spellEnd"/>
      <w:r w:rsidRPr="00353F3E">
        <w:rPr>
          <w:rFonts w:asciiTheme="minorHAnsi" w:hAnsiTheme="minorHAnsi" w:cstheme="minorHAnsi"/>
          <w:b/>
          <w:bCs/>
        </w:rPr>
        <w:t xml:space="preserve"> Jaya, Malaysia, February 11, 2022 -</w:t>
      </w:r>
      <w:r w:rsidRPr="00353F3E">
        <w:rPr>
          <w:rFonts w:asciiTheme="minorHAnsi" w:hAnsiTheme="minorHAnsi" w:cstheme="minorHAnsi"/>
          <w:b/>
          <w:bCs/>
          <w:i/>
          <w:iCs/>
        </w:rPr>
        <w:t xml:space="preserve"> </w:t>
      </w:r>
      <w:r w:rsidRPr="00353F3E">
        <w:rPr>
          <w:rFonts w:asciiTheme="minorHAnsi" w:hAnsiTheme="minorHAnsi" w:cstheme="minorHAnsi"/>
        </w:rPr>
        <w:t xml:space="preserve">The Philips 7906 series and 7406 series 4K UHD Android TVs are now available in Malaysia. These displays bring action that leaps from the screen and they make HDR content look amazing. 7906 series </w:t>
      </w:r>
      <w:proofErr w:type="spellStart"/>
      <w:r w:rsidRPr="00353F3E">
        <w:rPr>
          <w:rFonts w:asciiTheme="minorHAnsi" w:hAnsiTheme="minorHAnsi" w:cstheme="minorHAnsi"/>
        </w:rPr>
        <w:t>Ambilight</w:t>
      </w:r>
      <w:proofErr w:type="spellEnd"/>
      <w:r w:rsidRPr="00353F3E">
        <w:rPr>
          <w:rFonts w:asciiTheme="minorHAnsi" w:hAnsiTheme="minorHAnsi" w:cstheme="minorHAnsi"/>
        </w:rPr>
        <w:t xml:space="preserve"> models makes movies, shows, and games feel bigger and more immersive. Meanwhile, Dolby </w:t>
      </w:r>
      <w:proofErr w:type="spellStart"/>
      <w:r w:rsidRPr="00353F3E">
        <w:rPr>
          <w:rFonts w:asciiTheme="minorHAnsi" w:hAnsiTheme="minorHAnsi" w:cstheme="minorHAnsi"/>
        </w:rPr>
        <w:t>Atmos</w:t>
      </w:r>
      <w:proofErr w:type="spellEnd"/>
      <w:r w:rsidRPr="00353F3E">
        <w:rPr>
          <w:rFonts w:asciiTheme="minorHAnsi" w:hAnsiTheme="minorHAnsi" w:cstheme="minorHAnsi"/>
        </w:rPr>
        <w:t xml:space="preserve"> brings premium sound to match the brilliant picture. Several screen sizes from 43-inches up to 70-inches are available, to perfectly fit any space.</w:t>
      </w:r>
    </w:p>
    <w:p w:rsidR="00A600D8" w:rsidRPr="00353F3E" w:rsidRDefault="00195C53">
      <w:pPr>
        <w:pStyle w:val="3"/>
        <w:spacing w:before="0" w:beforeAutospacing="0" w:after="0" w:afterAutospacing="0"/>
        <w:rPr>
          <w:rFonts w:asciiTheme="minorHAnsi" w:hAnsiTheme="minorHAnsi" w:cstheme="minorHAnsi"/>
        </w:rPr>
      </w:pPr>
      <w:r w:rsidRPr="00353F3E">
        <w:rPr>
          <w:rFonts w:asciiTheme="minorHAnsi" w:hAnsiTheme="minorHAnsi" w:cstheme="minorHAnsi"/>
        </w:rPr>
        <w:t>Astounding picture quality</w:t>
      </w:r>
    </w:p>
    <w:p w:rsidR="00A600D8" w:rsidRPr="00353F3E" w:rsidRDefault="00195C53">
      <w:pPr>
        <w:spacing w:after="240"/>
        <w:rPr>
          <w:rFonts w:asciiTheme="minorHAnsi" w:hAnsiTheme="minorHAnsi" w:cstheme="minorHAnsi"/>
        </w:rPr>
      </w:pPr>
      <w:r w:rsidRPr="00353F3E">
        <w:rPr>
          <w:rFonts w:asciiTheme="minorHAnsi" w:hAnsiTheme="minorHAnsi" w:cstheme="minorHAnsi"/>
        </w:rPr>
        <w:t>Philips 4K UHD TVs are compatible with all major HDR formats, including Dolby Vision. Whether it's a must-watch series or the latest video game, shadows will be deeper. Bright surfaces will shine. Colors will be truer.</w:t>
      </w:r>
      <w:r w:rsidRPr="00353F3E">
        <w:rPr>
          <w:rFonts w:asciiTheme="minorHAnsi" w:hAnsiTheme="minorHAnsi" w:cstheme="minorHAnsi"/>
        </w:rPr>
        <w:br/>
      </w:r>
      <w:r w:rsidRPr="00353F3E">
        <w:rPr>
          <w:rFonts w:asciiTheme="minorHAnsi" w:hAnsiTheme="minorHAnsi" w:cstheme="minorHAnsi"/>
        </w:rPr>
        <w:br/>
        <w:t xml:space="preserve">If you start playing a game on a connected games console, these two series automatically switches to a low latency setting (ALLM), and the fast display response means that gamers can always stay on top of the game. </w:t>
      </w:r>
      <w:r w:rsidRPr="00353F3E">
        <w:rPr>
          <w:rFonts w:asciiTheme="minorHAnsi" w:hAnsiTheme="minorHAnsi" w:cstheme="minorHAnsi"/>
        </w:rPr>
        <w:br/>
      </w:r>
      <w:r w:rsidRPr="00353F3E">
        <w:rPr>
          <w:rFonts w:asciiTheme="minorHAnsi" w:hAnsiTheme="minorHAnsi" w:cstheme="minorHAnsi"/>
        </w:rPr>
        <w:br/>
        <w:t>Variable Refresh Rate (VRR) is supported f</w:t>
      </w:r>
      <w:r w:rsidR="00135E73">
        <w:rPr>
          <w:rFonts w:asciiTheme="minorHAnsi" w:hAnsiTheme="minorHAnsi" w:cstheme="minorHAnsi"/>
        </w:rPr>
        <w:t>or smooth fast-action game play</w:t>
      </w:r>
      <w:r w:rsidR="00135E73">
        <w:rPr>
          <w:rFonts w:asciiTheme="minorHAnsi" w:hAnsiTheme="minorHAnsi" w:cstheme="minorHAnsi" w:hint="eastAsia"/>
        </w:rPr>
        <w:t>,</w:t>
      </w:r>
      <w:r w:rsidRPr="00353F3E">
        <w:rPr>
          <w:rFonts w:asciiTheme="minorHAnsi" w:hAnsiTheme="minorHAnsi" w:cstheme="minorHAnsi"/>
        </w:rPr>
        <w:t xml:space="preserve"> reducing screen tearing and syncing your monitor's refresh rate with your graphic card or console’s output for a better gaming experience. Scenes appear instantly, objects look sharper, and </w:t>
      </w:r>
      <w:proofErr w:type="spellStart"/>
      <w:r w:rsidRPr="00353F3E">
        <w:rPr>
          <w:rFonts w:asciiTheme="minorHAnsi" w:hAnsiTheme="minorHAnsi" w:cstheme="minorHAnsi"/>
        </w:rPr>
        <w:t>gameplay</w:t>
      </w:r>
      <w:proofErr w:type="spellEnd"/>
      <w:r w:rsidRPr="00353F3E">
        <w:rPr>
          <w:rFonts w:asciiTheme="minorHAnsi" w:hAnsiTheme="minorHAnsi" w:cstheme="minorHAnsi"/>
        </w:rPr>
        <w:t xml:space="preserve"> is more fluid – giving you a stunning visual experience and a serious competitive edge.</w:t>
      </w:r>
    </w:p>
    <w:p w:rsidR="00A600D8" w:rsidRPr="00353F3E" w:rsidRDefault="00195C53">
      <w:pPr>
        <w:pStyle w:val="3"/>
        <w:spacing w:before="0" w:beforeAutospacing="0" w:after="0" w:afterAutospacing="0"/>
        <w:rPr>
          <w:rFonts w:asciiTheme="minorHAnsi" w:hAnsiTheme="minorHAnsi" w:cstheme="minorHAnsi"/>
        </w:rPr>
      </w:pPr>
      <w:r w:rsidRPr="00353F3E">
        <w:rPr>
          <w:rFonts w:asciiTheme="minorHAnsi" w:hAnsiTheme="minorHAnsi" w:cstheme="minorHAnsi"/>
        </w:rPr>
        <w:t>A world of content at your fingertips</w:t>
      </w:r>
    </w:p>
    <w:p w:rsidR="00A600D8" w:rsidRPr="00353F3E" w:rsidRDefault="00195C53">
      <w:pPr>
        <w:spacing w:after="240"/>
        <w:rPr>
          <w:rFonts w:asciiTheme="minorHAnsi" w:hAnsiTheme="minorHAnsi" w:cstheme="minorHAnsi"/>
        </w:rPr>
      </w:pPr>
      <w:r w:rsidRPr="00353F3E">
        <w:rPr>
          <w:rFonts w:asciiTheme="minorHAnsi" w:hAnsiTheme="minorHAnsi" w:cstheme="minorHAnsi"/>
        </w:rPr>
        <w:t xml:space="preserve">All major streaming services are supported, including Apple TV+, Netflix, YouTube, Amazon Prime and Disney+. You can enjoy award-winning original shows, movies and documentaries from the world’s most creative storytellers. Users can also enjoy personalized and </w:t>
      </w:r>
      <w:proofErr w:type="spellStart"/>
      <w:r w:rsidRPr="00353F3E">
        <w:rPr>
          <w:rFonts w:asciiTheme="minorHAnsi" w:hAnsiTheme="minorHAnsi" w:cstheme="minorHAnsi"/>
        </w:rPr>
        <w:t>curated</w:t>
      </w:r>
      <w:proofErr w:type="spellEnd"/>
      <w:r w:rsidRPr="00353F3E">
        <w:rPr>
          <w:rFonts w:asciiTheme="minorHAnsi" w:hAnsiTheme="minorHAnsi" w:cstheme="minorHAnsi"/>
        </w:rPr>
        <w:t xml:space="preserve"> recommendations and access their library of movie and TV show purchases from Apple.</w:t>
      </w:r>
    </w:p>
    <w:p w:rsidR="00A600D8" w:rsidRPr="00353F3E" w:rsidRDefault="00195C53">
      <w:pPr>
        <w:pStyle w:val="3"/>
        <w:spacing w:before="0" w:beforeAutospacing="0" w:after="0" w:afterAutospacing="0"/>
        <w:rPr>
          <w:rFonts w:asciiTheme="minorHAnsi" w:hAnsiTheme="minorHAnsi" w:cstheme="minorHAnsi"/>
        </w:rPr>
      </w:pPr>
      <w:r w:rsidRPr="00353F3E">
        <w:rPr>
          <w:rFonts w:asciiTheme="minorHAnsi" w:hAnsiTheme="minorHAnsi" w:cstheme="minorHAnsi"/>
        </w:rPr>
        <w:t>A big screen for any space</w:t>
      </w:r>
    </w:p>
    <w:p w:rsidR="00A600D8" w:rsidRPr="00353F3E" w:rsidRDefault="00195C53">
      <w:pPr>
        <w:spacing w:after="240"/>
        <w:rPr>
          <w:rFonts w:asciiTheme="minorHAnsi" w:hAnsiTheme="minorHAnsi" w:cstheme="minorHAnsi"/>
        </w:rPr>
      </w:pPr>
      <w:r w:rsidRPr="00353F3E">
        <w:rPr>
          <w:rFonts w:asciiTheme="minorHAnsi" w:hAnsiTheme="minorHAnsi" w:cstheme="minorHAnsi"/>
        </w:rPr>
        <w:t>These are TVs to fits any lifestyle. The screens may be big, but they still won’t take up much space. Super slim bezels help the TV fit in with just about any interior design, and slim feet make it seem as if the screen is floating above the TV unit or table. In fact, Philips 7906 series is virtually bezel-free.</w:t>
      </w:r>
    </w:p>
    <w:p w:rsidR="00A600D8" w:rsidRPr="00353F3E" w:rsidRDefault="00195C53">
      <w:pPr>
        <w:pStyle w:val="3"/>
        <w:spacing w:before="0" w:beforeAutospacing="0" w:after="0" w:afterAutospacing="0"/>
        <w:rPr>
          <w:rFonts w:asciiTheme="minorHAnsi" w:hAnsiTheme="minorHAnsi" w:cstheme="minorHAnsi"/>
        </w:rPr>
      </w:pPr>
      <w:r w:rsidRPr="00353F3E">
        <w:rPr>
          <w:rFonts w:asciiTheme="minorHAnsi" w:hAnsiTheme="minorHAnsi" w:cstheme="minorHAnsi"/>
        </w:rPr>
        <w:t xml:space="preserve">Experience </w:t>
      </w:r>
      <w:proofErr w:type="spellStart"/>
      <w:r w:rsidRPr="00353F3E">
        <w:rPr>
          <w:rFonts w:asciiTheme="minorHAnsi" w:hAnsiTheme="minorHAnsi" w:cstheme="minorHAnsi"/>
        </w:rPr>
        <w:t>Ambilight</w:t>
      </w:r>
      <w:proofErr w:type="spellEnd"/>
      <w:r w:rsidRPr="00353F3E">
        <w:rPr>
          <w:rFonts w:asciiTheme="minorHAnsi" w:hAnsiTheme="minorHAnsi" w:cstheme="minorHAnsi"/>
        </w:rPr>
        <w:t xml:space="preserve"> immersive TV</w:t>
      </w:r>
    </w:p>
    <w:p w:rsidR="00A600D8" w:rsidRPr="00353F3E" w:rsidRDefault="00195C53">
      <w:pPr>
        <w:spacing w:after="240"/>
        <w:rPr>
          <w:rFonts w:asciiTheme="minorHAnsi" w:hAnsiTheme="minorHAnsi" w:cstheme="minorHAnsi"/>
        </w:rPr>
      </w:pPr>
      <w:r w:rsidRPr="00353F3E">
        <w:rPr>
          <w:rFonts w:asciiTheme="minorHAnsi" w:hAnsiTheme="minorHAnsi" w:cstheme="minorHAnsi"/>
        </w:rPr>
        <w:lastRenderedPageBreak/>
        <w:t xml:space="preserve">Philips 7906 series, 3-sided </w:t>
      </w:r>
      <w:proofErr w:type="spellStart"/>
      <w:r w:rsidRPr="00353F3E">
        <w:rPr>
          <w:rFonts w:asciiTheme="minorHAnsi" w:hAnsiTheme="minorHAnsi" w:cstheme="minorHAnsi"/>
        </w:rPr>
        <w:t>Ambilight</w:t>
      </w:r>
      <w:proofErr w:type="spellEnd"/>
      <w:r w:rsidRPr="00353F3E">
        <w:rPr>
          <w:rFonts w:asciiTheme="minorHAnsi" w:hAnsiTheme="minorHAnsi" w:cstheme="minorHAnsi"/>
        </w:rPr>
        <w:t xml:space="preserve"> makes every moment feel closer. Intelligent LEDs around the edge of the TV respond to the on-screen action and emit an immersive glow that's simply captivating.</w:t>
      </w:r>
      <w:r w:rsidRPr="00353F3E">
        <w:rPr>
          <w:rFonts w:asciiTheme="minorHAnsi" w:hAnsiTheme="minorHAnsi" w:cstheme="minorHAnsi"/>
        </w:rPr>
        <w:br/>
      </w:r>
      <w:r w:rsidRPr="00353F3E">
        <w:rPr>
          <w:rFonts w:asciiTheme="minorHAnsi" w:hAnsiTheme="minorHAnsi" w:cstheme="minorHAnsi"/>
        </w:rPr>
        <w:br/>
        <w:t xml:space="preserve">Read more information about </w:t>
      </w:r>
      <w:hyperlink r:id="rId6" w:tgtFrame="_blank" w:history="1">
        <w:r w:rsidRPr="00353F3E">
          <w:rPr>
            <w:rStyle w:val="a3"/>
            <w:rFonts w:asciiTheme="minorHAnsi" w:hAnsiTheme="minorHAnsi" w:cstheme="minorHAnsi"/>
          </w:rPr>
          <w:t>Philips 7906 Ambilight 4K UHD LED Android TV</w:t>
        </w:r>
      </w:hyperlink>
      <w:r w:rsidRPr="00353F3E">
        <w:rPr>
          <w:rFonts w:asciiTheme="minorHAnsi" w:hAnsiTheme="minorHAnsi" w:cstheme="minorHAnsi"/>
        </w:rPr>
        <w:t xml:space="preserve"> and </w:t>
      </w:r>
      <w:hyperlink r:id="rId7" w:tgtFrame="_blank" w:history="1">
        <w:r w:rsidRPr="00353F3E">
          <w:rPr>
            <w:rStyle w:val="a3"/>
            <w:rFonts w:asciiTheme="minorHAnsi" w:hAnsiTheme="minorHAnsi" w:cstheme="minorHAnsi"/>
          </w:rPr>
          <w:t>Philips 7406 4K UHD LED Android TV</w:t>
        </w:r>
      </w:hyperlink>
      <w:r w:rsidRPr="00353F3E">
        <w:rPr>
          <w:rFonts w:asciiTheme="minorHAnsi" w:hAnsiTheme="minorHAnsi" w:cstheme="minorHAnsi"/>
        </w:rPr>
        <w:t xml:space="preserve"> </w:t>
      </w:r>
    </w:p>
    <w:p w:rsidR="00A600D8" w:rsidRPr="00353F3E" w:rsidRDefault="00195C53">
      <w:pPr>
        <w:pStyle w:val="3"/>
        <w:spacing w:before="0" w:beforeAutospacing="0" w:after="0" w:afterAutospacing="0"/>
        <w:rPr>
          <w:rFonts w:asciiTheme="minorHAnsi" w:hAnsiTheme="minorHAnsi" w:cstheme="minorHAnsi"/>
        </w:rPr>
      </w:pPr>
      <w:r w:rsidRPr="00353F3E">
        <w:rPr>
          <w:rFonts w:asciiTheme="minorHAnsi" w:hAnsiTheme="minorHAnsi" w:cstheme="minorHAnsi"/>
        </w:rPr>
        <w:t>Where to buy and Current Promo Price</w:t>
      </w:r>
    </w:p>
    <w:p w:rsidR="00A600D8" w:rsidRPr="00353F3E" w:rsidRDefault="00195C53">
      <w:pPr>
        <w:spacing w:after="240"/>
        <w:rPr>
          <w:rFonts w:asciiTheme="minorHAnsi" w:hAnsiTheme="minorHAnsi" w:cstheme="minorHAnsi"/>
        </w:rPr>
      </w:pPr>
      <w:r w:rsidRPr="00353F3E">
        <w:rPr>
          <w:rFonts w:asciiTheme="minorHAnsi" w:hAnsiTheme="minorHAnsi" w:cstheme="minorHAnsi"/>
        </w:rPr>
        <w:br/>
        <w:t xml:space="preserve">All products are available via authorized Philips TV dealers </w:t>
      </w:r>
    </w:p>
    <w:tbl>
      <w:tblPr>
        <w:tblW w:w="0" w:type="auto"/>
        <w:tblBorders>
          <w:top w:val="single" w:sz="6" w:space="0" w:color="808080"/>
          <w:left w:val="single" w:sz="6" w:space="0" w:color="808080"/>
          <w:bottom w:val="single" w:sz="6" w:space="0" w:color="808080"/>
          <w:right w:val="single" w:sz="6" w:space="0" w:color="808080"/>
        </w:tblBorders>
        <w:tblCellMar>
          <w:top w:w="45" w:type="dxa"/>
          <w:left w:w="45" w:type="dxa"/>
          <w:bottom w:w="45" w:type="dxa"/>
          <w:right w:w="45" w:type="dxa"/>
        </w:tblCellMar>
        <w:tblLook w:val="04A0"/>
      </w:tblPr>
      <w:tblGrid>
        <w:gridCol w:w="2250"/>
        <w:gridCol w:w="2250"/>
        <w:gridCol w:w="2250"/>
      </w:tblGrid>
      <w:tr w:rsidR="00A600D8" w:rsidRPr="00353F3E">
        <w:tc>
          <w:tcPr>
            <w:tcW w:w="2250" w:type="dxa"/>
            <w:tcBorders>
              <w:top w:val="single" w:sz="6" w:space="0" w:color="808080"/>
              <w:bottom w:val="single" w:sz="6" w:space="0" w:color="808080"/>
              <w:right w:val="single" w:sz="6" w:space="0" w:color="808080"/>
            </w:tcBorders>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b/>
                <w:bCs/>
                <w:color w:val="000000"/>
                <w:sz w:val="27"/>
                <w:szCs w:val="27"/>
              </w:rPr>
              <w:t>Model</w:t>
            </w:r>
          </w:p>
        </w:tc>
        <w:tc>
          <w:tcPr>
            <w:tcW w:w="2250" w:type="dxa"/>
            <w:tcBorders>
              <w:top w:val="single" w:sz="6" w:space="0" w:color="808080"/>
              <w:bottom w:val="single" w:sz="6" w:space="0" w:color="808080"/>
              <w:right w:val="single" w:sz="6" w:space="0" w:color="808080"/>
            </w:tcBorders>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b/>
                <w:bCs/>
                <w:color w:val="000000"/>
                <w:sz w:val="27"/>
                <w:szCs w:val="27"/>
              </w:rPr>
              <w:t>RCP (RM)</w:t>
            </w:r>
          </w:p>
        </w:tc>
        <w:tc>
          <w:tcPr>
            <w:tcW w:w="2250" w:type="dxa"/>
            <w:tcBorders>
              <w:top w:val="single" w:sz="6" w:space="0" w:color="808080"/>
              <w:bottom w:val="single" w:sz="6" w:space="0" w:color="808080"/>
              <w:right w:val="single" w:sz="6" w:space="0" w:color="808080"/>
            </w:tcBorders>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b/>
                <w:bCs/>
                <w:color w:val="000000"/>
                <w:sz w:val="27"/>
                <w:szCs w:val="27"/>
              </w:rPr>
              <w:t>Promo Price (RM)</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50PUT7906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2999</w:t>
            </w:r>
          </w:p>
        </w:tc>
        <w:tc>
          <w:tcPr>
            <w:tcW w:w="0" w:type="auto"/>
            <w:tcBorders>
              <w:top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color w:val="000000"/>
              </w:rPr>
              <w:t>2799</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55PUT7906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3299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2999</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65PUT7906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4699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4299</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70PUT7906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5499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4999</w:t>
            </w:r>
          </w:p>
        </w:tc>
      </w:tr>
    </w:tbl>
    <w:p w:rsidR="00A600D8" w:rsidRPr="00353F3E" w:rsidRDefault="00A600D8">
      <w:pPr>
        <w:rPr>
          <w:rFonts w:asciiTheme="minorHAnsi" w:hAnsiTheme="minorHAnsi" w:cstheme="minorHAnsi"/>
        </w:rPr>
      </w:pPr>
    </w:p>
    <w:tbl>
      <w:tblPr>
        <w:tblW w:w="0" w:type="auto"/>
        <w:tblBorders>
          <w:top w:val="single" w:sz="6" w:space="0" w:color="808080"/>
          <w:left w:val="single" w:sz="6" w:space="0" w:color="808080"/>
          <w:bottom w:val="single" w:sz="6" w:space="0" w:color="808080"/>
          <w:right w:val="single" w:sz="6" w:space="0" w:color="808080"/>
        </w:tblBorders>
        <w:tblCellMar>
          <w:top w:w="45" w:type="dxa"/>
          <w:left w:w="45" w:type="dxa"/>
          <w:bottom w:w="45" w:type="dxa"/>
          <w:right w:w="45" w:type="dxa"/>
        </w:tblCellMar>
        <w:tblLook w:val="04A0"/>
      </w:tblPr>
      <w:tblGrid>
        <w:gridCol w:w="2250"/>
        <w:gridCol w:w="2250"/>
        <w:gridCol w:w="2250"/>
      </w:tblGrid>
      <w:tr w:rsidR="00A600D8" w:rsidRPr="00353F3E">
        <w:tc>
          <w:tcPr>
            <w:tcW w:w="2250" w:type="dxa"/>
            <w:tcBorders>
              <w:top w:val="single" w:sz="6" w:space="0" w:color="808080"/>
              <w:bottom w:val="single" w:sz="6" w:space="0" w:color="808080"/>
              <w:right w:val="single" w:sz="6" w:space="0" w:color="808080"/>
            </w:tcBorders>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b/>
                <w:bCs/>
                <w:color w:val="000000"/>
                <w:sz w:val="27"/>
                <w:szCs w:val="27"/>
              </w:rPr>
              <w:t>Model</w:t>
            </w:r>
          </w:p>
        </w:tc>
        <w:tc>
          <w:tcPr>
            <w:tcW w:w="2250" w:type="dxa"/>
            <w:tcBorders>
              <w:top w:val="single" w:sz="6" w:space="0" w:color="808080"/>
              <w:bottom w:val="single" w:sz="6" w:space="0" w:color="808080"/>
              <w:right w:val="single" w:sz="6" w:space="0" w:color="808080"/>
            </w:tcBorders>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b/>
                <w:bCs/>
                <w:color w:val="000000"/>
                <w:sz w:val="27"/>
                <w:szCs w:val="27"/>
              </w:rPr>
              <w:t>RCP (RM)</w:t>
            </w:r>
          </w:p>
        </w:tc>
        <w:tc>
          <w:tcPr>
            <w:tcW w:w="2250" w:type="dxa"/>
            <w:tcBorders>
              <w:top w:val="single" w:sz="6" w:space="0" w:color="808080"/>
              <w:bottom w:val="single" w:sz="6" w:space="0" w:color="808080"/>
              <w:right w:val="single" w:sz="6" w:space="0" w:color="808080"/>
            </w:tcBorders>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b/>
                <w:bCs/>
                <w:color w:val="000000"/>
                <w:sz w:val="27"/>
                <w:szCs w:val="27"/>
              </w:rPr>
              <w:t>Promo Price (RM)</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43PUT7406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1999</w:t>
            </w:r>
          </w:p>
        </w:tc>
        <w:tc>
          <w:tcPr>
            <w:tcW w:w="0" w:type="auto"/>
            <w:tcBorders>
              <w:top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color w:val="000000"/>
              </w:rPr>
              <w:t>1799</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50PUT7406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2799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2599</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55PUT7406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3099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2849</w:t>
            </w:r>
          </w:p>
        </w:tc>
      </w:tr>
      <w:tr w:rsidR="00A600D8" w:rsidRPr="00353F3E">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65PUT7406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4299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A600D8" w:rsidRPr="00353F3E" w:rsidRDefault="00195C53">
            <w:pPr>
              <w:pStyle w:val="Web"/>
              <w:jc w:val="center"/>
              <w:rPr>
                <w:rFonts w:asciiTheme="minorHAnsi" w:hAnsiTheme="minorHAnsi" w:cstheme="minorHAnsi"/>
              </w:rPr>
            </w:pPr>
            <w:r w:rsidRPr="00353F3E">
              <w:rPr>
                <w:rFonts w:asciiTheme="minorHAnsi" w:hAnsiTheme="minorHAnsi" w:cstheme="minorHAnsi"/>
              </w:rPr>
              <w:t>3999</w:t>
            </w:r>
          </w:p>
        </w:tc>
      </w:tr>
    </w:tbl>
    <w:p w:rsidR="00A600D8" w:rsidRPr="00353F3E" w:rsidRDefault="00A600D8">
      <w:pPr>
        <w:rPr>
          <w:rFonts w:asciiTheme="minorHAnsi" w:hAnsiTheme="minorHAnsi" w:cstheme="minorHAnsi"/>
        </w:rPr>
      </w:pPr>
    </w:p>
    <w:p w:rsidR="00A600D8" w:rsidRPr="00353F3E" w:rsidRDefault="00195C53">
      <w:pPr>
        <w:pStyle w:val="3"/>
        <w:spacing w:before="0" w:beforeAutospacing="0" w:after="0" w:afterAutospacing="0"/>
        <w:rPr>
          <w:rFonts w:asciiTheme="minorHAnsi" w:hAnsiTheme="minorHAnsi" w:cstheme="minorHAnsi"/>
        </w:rPr>
      </w:pPr>
      <w:r w:rsidRPr="00353F3E">
        <w:rPr>
          <w:rFonts w:asciiTheme="minorHAnsi" w:hAnsiTheme="minorHAnsi" w:cstheme="minorHAnsi"/>
        </w:rPr>
        <w:t>About TP Vision</w:t>
      </w:r>
    </w:p>
    <w:p w:rsidR="00195C53" w:rsidRPr="00353F3E" w:rsidRDefault="00195C53">
      <w:pPr>
        <w:rPr>
          <w:rFonts w:asciiTheme="minorHAnsi" w:hAnsiTheme="minorHAnsi" w:cstheme="minorHAnsi"/>
        </w:rPr>
      </w:pPr>
      <w:r w:rsidRPr="00353F3E">
        <w:rPr>
          <w:rFonts w:asciiTheme="minorHAnsi" w:hAnsiTheme="minorHAnsi" w:cstheme="minorHAnsi"/>
        </w:rPr>
        <w:t>TP Vision Europe B.V. (‘TP Vision’) is registered in the Netherlands, with its head office in Amsterdam. TP Vision is a wholly owned company of TPV Technology Limited (‘TPV’), which is one of the world’s leading monitor and TV manufacturers.</w:t>
      </w:r>
      <w:r w:rsidRPr="00353F3E">
        <w:rPr>
          <w:rFonts w:asciiTheme="minorHAnsi" w:hAnsiTheme="minorHAnsi" w:cstheme="minorHAnsi"/>
        </w:rPr>
        <w:br/>
      </w:r>
      <w:r w:rsidRPr="00353F3E">
        <w:rPr>
          <w:rFonts w:asciiTheme="minorHAnsi" w:hAnsiTheme="minorHAnsi" w:cstheme="minorHAnsi"/>
        </w:rPr>
        <w:br/>
        <w:t xml:space="preserve">TP Vision is a consumer electronics key player in TV and audio entertainment. TP Vision concentrates on developing, manufacturing and marketing Philips-branded TV sets (Europe, Russia, Middle East, South America, India and selected countries in Asia-Pacific) and Philips-branded audio products (Globally) under trademark license by </w:t>
      </w:r>
      <w:proofErr w:type="spellStart"/>
      <w:r w:rsidRPr="00353F3E">
        <w:rPr>
          <w:rFonts w:asciiTheme="minorHAnsi" w:hAnsiTheme="minorHAnsi" w:cstheme="minorHAnsi"/>
        </w:rPr>
        <w:t>Koninklijke</w:t>
      </w:r>
      <w:proofErr w:type="spellEnd"/>
      <w:r w:rsidRPr="00353F3E">
        <w:rPr>
          <w:rFonts w:asciiTheme="minorHAnsi" w:hAnsiTheme="minorHAnsi" w:cstheme="minorHAnsi"/>
        </w:rPr>
        <w:t xml:space="preserve"> Philips N.V. We combine the strong Philips brand with our product development and design expertise, operational excellence, and industry footprint of TPV. We believe in creating products that offer a superior audio and visual experience for consumers. </w:t>
      </w:r>
    </w:p>
    <w:sectPr w:rsidR="00195C53" w:rsidRPr="00353F3E" w:rsidSect="00A600D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4F1" w:rsidRDefault="007674F1" w:rsidP="00353F3E">
      <w:r>
        <w:separator/>
      </w:r>
    </w:p>
  </w:endnote>
  <w:endnote w:type="continuationSeparator" w:id="0">
    <w:p w:rsidR="007674F1" w:rsidRDefault="007674F1" w:rsidP="0035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4F1" w:rsidRDefault="007674F1" w:rsidP="00353F3E">
      <w:r>
        <w:separator/>
      </w:r>
    </w:p>
  </w:footnote>
  <w:footnote w:type="continuationSeparator" w:id="0">
    <w:p w:rsidR="007674F1" w:rsidRDefault="007674F1" w:rsidP="00353F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353F3E"/>
    <w:rsid w:val="00135E73"/>
    <w:rsid w:val="00195C53"/>
    <w:rsid w:val="00353F3E"/>
    <w:rsid w:val="007674F1"/>
    <w:rsid w:val="00A600D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D8"/>
    <w:rPr>
      <w:rFonts w:ascii="新細明體" w:eastAsia="新細明體" w:hAnsi="新細明體" w:cs="新細明體"/>
      <w:sz w:val="24"/>
      <w:szCs w:val="24"/>
    </w:rPr>
  </w:style>
  <w:style w:type="paragraph" w:styleId="1">
    <w:name w:val="heading 1"/>
    <w:basedOn w:val="a"/>
    <w:link w:val="10"/>
    <w:uiPriority w:val="9"/>
    <w:qFormat/>
    <w:rsid w:val="00A600D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600D8"/>
    <w:pPr>
      <w:spacing w:before="100" w:beforeAutospacing="1" w:after="100" w:afterAutospacing="1"/>
      <w:outlineLvl w:val="1"/>
    </w:pPr>
    <w:rPr>
      <w:b/>
      <w:bCs/>
      <w:sz w:val="36"/>
      <w:szCs w:val="36"/>
    </w:rPr>
  </w:style>
  <w:style w:type="paragraph" w:styleId="3">
    <w:name w:val="heading 3"/>
    <w:basedOn w:val="a"/>
    <w:link w:val="30"/>
    <w:uiPriority w:val="9"/>
    <w:qFormat/>
    <w:rsid w:val="00A600D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00D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600D8"/>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A600D8"/>
    <w:rPr>
      <w:rFonts w:asciiTheme="majorHAnsi" w:eastAsiaTheme="majorEastAsia" w:hAnsiTheme="majorHAnsi" w:cstheme="majorBidi"/>
      <w:b/>
      <w:bCs/>
      <w:sz w:val="36"/>
      <w:szCs w:val="36"/>
    </w:rPr>
  </w:style>
  <w:style w:type="character" w:styleId="a3">
    <w:name w:val="Hyperlink"/>
    <w:basedOn w:val="a0"/>
    <w:uiPriority w:val="99"/>
    <w:semiHidden/>
    <w:unhideWhenUsed/>
    <w:rsid w:val="00A600D8"/>
    <w:rPr>
      <w:color w:val="0000FF"/>
      <w:u w:val="single"/>
    </w:rPr>
  </w:style>
  <w:style w:type="character" w:styleId="a4">
    <w:name w:val="FollowedHyperlink"/>
    <w:basedOn w:val="a0"/>
    <w:uiPriority w:val="99"/>
    <w:semiHidden/>
    <w:unhideWhenUsed/>
    <w:rsid w:val="00A600D8"/>
    <w:rPr>
      <w:color w:val="800080"/>
      <w:u w:val="single"/>
    </w:rPr>
  </w:style>
  <w:style w:type="paragraph" w:styleId="Web">
    <w:name w:val="Normal (Web)"/>
    <w:basedOn w:val="a"/>
    <w:uiPriority w:val="99"/>
    <w:unhideWhenUsed/>
    <w:rsid w:val="00A600D8"/>
    <w:pPr>
      <w:spacing w:before="100" w:beforeAutospacing="1" w:after="100" w:afterAutospacing="1"/>
    </w:pPr>
  </w:style>
  <w:style w:type="paragraph" w:styleId="a5">
    <w:name w:val="header"/>
    <w:basedOn w:val="a"/>
    <w:link w:val="a6"/>
    <w:uiPriority w:val="99"/>
    <w:semiHidden/>
    <w:unhideWhenUsed/>
    <w:rsid w:val="00353F3E"/>
    <w:pPr>
      <w:tabs>
        <w:tab w:val="center" w:pos="4153"/>
        <w:tab w:val="right" w:pos="8306"/>
      </w:tabs>
      <w:snapToGrid w:val="0"/>
    </w:pPr>
    <w:rPr>
      <w:sz w:val="20"/>
      <w:szCs w:val="20"/>
    </w:rPr>
  </w:style>
  <w:style w:type="character" w:customStyle="1" w:styleId="a6">
    <w:name w:val="頁首 字元"/>
    <w:basedOn w:val="a0"/>
    <w:link w:val="a5"/>
    <w:uiPriority w:val="99"/>
    <w:semiHidden/>
    <w:rsid w:val="00353F3E"/>
    <w:rPr>
      <w:rFonts w:ascii="新細明體" w:eastAsia="新細明體" w:hAnsi="新細明體" w:cs="新細明體"/>
    </w:rPr>
  </w:style>
  <w:style w:type="paragraph" w:styleId="a7">
    <w:name w:val="footer"/>
    <w:basedOn w:val="a"/>
    <w:link w:val="a8"/>
    <w:uiPriority w:val="99"/>
    <w:semiHidden/>
    <w:unhideWhenUsed/>
    <w:rsid w:val="00353F3E"/>
    <w:pPr>
      <w:tabs>
        <w:tab w:val="center" w:pos="4153"/>
        <w:tab w:val="right" w:pos="8306"/>
      </w:tabs>
      <w:snapToGrid w:val="0"/>
    </w:pPr>
    <w:rPr>
      <w:sz w:val="20"/>
      <w:szCs w:val="20"/>
    </w:rPr>
  </w:style>
  <w:style w:type="character" w:customStyle="1" w:styleId="a8">
    <w:name w:val="頁尾 字元"/>
    <w:basedOn w:val="a0"/>
    <w:link w:val="a7"/>
    <w:uiPriority w:val="99"/>
    <w:semiHidden/>
    <w:rsid w:val="00353F3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hilips.com.my/c-p/65PUT7406_68/7000-series-4k-uhd-led-android-t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ips.com.my/c-p/70PUT7906_68/7900-series-4k-uhd-led-android-t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7000 series 4K UHD Android TVs Are Now Available in Malaysia</dc:title>
  <dc:creator>Sandy</dc:creator>
  <cp:lastModifiedBy>Sandy</cp:lastModifiedBy>
  <cp:revision>3</cp:revision>
  <dcterms:created xsi:type="dcterms:W3CDTF">2022-02-07T06:45:00Z</dcterms:created>
  <dcterms:modified xsi:type="dcterms:W3CDTF">2022-02-10T06:09:00Z</dcterms:modified>
</cp:coreProperties>
</file>