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2ECE" w:rsidRDefault="00D11DB5">
      <w:pPr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FOR IMMEDIATE RELEASE</w:t>
      </w:r>
    </w:p>
    <w:p w:rsidR="00000000" w:rsidRPr="00A62ECE" w:rsidRDefault="00D11DB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Kostenlose EV-Sourcing-Veranstaltung mit Taiwans führenden Lieferanten aus der Lieferkette für intelligente Fahrzeuge</w:t>
      </w:r>
    </w:p>
    <w:p w:rsidR="00000000" w:rsidRPr="00A62ECE" w:rsidRDefault="00D11DB5">
      <w:pPr>
        <w:spacing w:after="24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br/>
      </w:r>
      <w:proofErr w:type="gramStart"/>
      <w:r w:rsidRPr="00A62ECE">
        <w:rPr>
          <w:rFonts w:asciiTheme="minorHAnsi" w:hAnsiTheme="minorHAnsi" w:cstheme="minorHAnsi"/>
          <w:b/>
          <w:bCs/>
          <w:i/>
          <w:iCs/>
          <w:lang/>
        </w:rPr>
        <w:t>TAIPEI, Taiwan, 1X.</w:t>
      </w:r>
      <w:proofErr w:type="gramEnd"/>
      <w:r w:rsidRPr="00A62ECE">
        <w:rPr>
          <w:rFonts w:asciiTheme="minorHAnsi" w:hAnsiTheme="minorHAnsi" w:cstheme="minorHAnsi"/>
          <w:b/>
          <w:bCs/>
          <w:i/>
          <w:iCs/>
          <w:lang/>
        </w:rPr>
        <w:t xml:space="preserve"> Juni 2021 - </w:t>
      </w:r>
      <w:r w:rsidRPr="00A62ECE">
        <w:rPr>
          <w:rFonts w:asciiTheme="minorHAnsi" w:hAnsiTheme="minorHAnsi" w:cstheme="minorHAnsi"/>
          <w:b/>
          <w:bCs/>
          <w:lang/>
        </w:rPr>
        <w:t>Taiwans</w:t>
      </w:r>
      <w:r w:rsidRPr="00A62ECE">
        <w:rPr>
          <w:rFonts w:asciiTheme="minorHAnsi" w:hAnsiTheme="minorHAnsi" w:cstheme="minorHAnsi"/>
          <w:lang/>
        </w:rPr>
        <w:t xml:space="preserve"> führende gemeinnützige Handelsförderungsorganisation TAITRA </w:t>
      </w:r>
      <w:r w:rsidRPr="00A62ECE">
        <w:rPr>
          <w:rFonts w:asciiTheme="minorHAnsi" w:hAnsiTheme="minorHAnsi" w:cstheme="minorHAnsi"/>
          <w:lang/>
        </w:rPr>
        <w:t xml:space="preserve">veranstaltet ein globales Business-Matchmaking-Event, das Käufer der globalen Elektrofahrzeugindustrie mit den besten taiwanischen Lieferanten zusammenbringt. Die virtuelle Veranstaltung </w:t>
      </w:r>
      <w:r w:rsidRPr="00A62ECE">
        <w:rPr>
          <w:rFonts w:asciiTheme="minorHAnsi" w:hAnsiTheme="minorHAnsi" w:cstheme="minorHAnsi"/>
          <w:b/>
          <w:bCs/>
          <w:i/>
          <w:iCs/>
          <w:lang/>
        </w:rPr>
        <w:t>Sourcing Taiwan Online – Smart Vehicle Supply Chain</w:t>
      </w:r>
      <w:r w:rsidRPr="00A62ECE">
        <w:rPr>
          <w:rFonts w:asciiTheme="minorHAnsi" w:hAnsiTheme="minorHAnsi" w:cstheme="minorHAnsi"/>
          <w:lang/>
        </w:rPr>
        <w:t xml:space="preserve"> beginnt am </w:t>
      </w:r>
      <w:r w:rsidRPr="00A62ECE">
        <w:rPr>
          <w:rFonts w:asciiTheme="minorHAnsi" w:hAnsiTheme="minorHAnsi" w:cstheme="minorHAnsi"/>
          <w:b/>
          <w:bCs/>
          <w:lang/>
        </w:rPr>
        <w:t>8. Jul</w:t>
      </w:r>
      <w:r w:rsidRPr="00A62ECE">
        <w:rPr>
          <w:rFonts w:asciiTheme="minorHAnsi" w:hAnsiTheme="minorHAnsi" w:cstheme="minorHAnsi"/>
          <w:b/>
          <w:bCs/>
          <w:lang/>
        </w:rPr>
        <w:t>i 2021</w:t>
      </w:r>
      <w:r w:rsidRPr="00A62ECE">
        <w:rPr>
          <w:rFonts w:asciiTheme="minorHAnsi" w:hAnsiTheme="minorHAnsi" w:cstheme="minorHAnsi"/>
          <w:lang/>
        </w:rPr>
        <w:t xml:space="preserve"> und beleuchtet EV-Lösungen und -Komponenten, V2X und autonome sowie intelligente Plattformen für die gemeinsame Nutzung von Transportmitteln.</w:t>
      </w:r>
    </w:p>
    <w:p w:rsidR="00000000" w:rsidRPr="00A62ECE" w:rsidRDefault="00D11DB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 xml:space="preserve">Taiwan </w:t>
      </w:r>
      <w:proofErr w:type="gramStart"/>
      <w:r w:rsidRPr="00A62ECE">
        <w:rPr>
          <w:rFonts w:asciiTheme="minorHAnsi" w:hAnsiTheme="minorHAnsi" w:cstheme="minorHAnsi"/>
          <w:lang/>
        </w:rPr>
        <w:t>ist</w:t>
      </w:r>
      <w:proofErr w:type="gramEnd"/>
      <w:r w:rsidRPr="00A62ECE">
        <w:rPr>
          <w:rFonts w:asciiTheme="minorHAnsi" w:hAnsiTheme="minorHAnsi" w:cstheme="minorHAnsi"/>
          <w:lang/>
        </w:rPr>
        <w:t xml:space="preserve"> bekannt in der Elektroauto-Lieferkette für EV-Lösungen und -Komponenten</w:t>
      </w:r>
    </w:p>
    <w:p w:rsidR="00000000" w:rsidRPr="00A62ECE" w:rsidRDefault="00D11DB5">
      <w:pPr>
        <w:spacing w:after="24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Zu den erstklassigen t</w:t>
      </w:r>
      <w:r w:rsidRPr="00A62ECE">
        <w:rPr>
          <w:rFonts w:asciiTheme="minorHAnsi" w:hAnsiTheme="minorHAnsi" w:cstheme="minorHAnsi"/>
          <w:lang/>
        </w:rPr>
        <w:t xml:space="preserve">aiwanischen E-Fahrzeugprodukten gehören E-Motorantriebe, Energiespeichersysteme, Leistungsmodule, Steuerungssysteme und die Veredelung hochpräziser Automobilkomponenten. </w:t>
      </w:r>
      <w:proofErr w:type="gramStart"/>
      <w:r w:rsidRPr="00A62ECE">
        <w:rPr>
          <w:rFonts w:asciiTheme="minorHAnsi" w:hAnsiTheme="minorHAnsi" w:cstheme="minorHAnsi"/>
          <w:lang/>
        </w:rPr>
        <w:t>Beispielsweise beziehen Marktführer wie Tesla und Volkswagen Untersetzungsgetriebe und</w:t>
      </w:r>
      <w:r w:rsidRPr="00A62ECE">
        <w:rPr>
          <w:rFonts w:asciiTheme="minorHAnsi" w:hAnsiTheme="minorHAnsi" w:cstheme="minorHAnsi"/>
          <w:lang/>
        </w:rPr>
        <w:t xml:space="preserve"> Ladestationen von den führenden taiwanischen Zulieferern Hota Industrial und Delta Electronics.</w:t>
      </w:r>
      <w:proofErr w:type="gramEnd"/>
    </w:p>
    <w:p w:rsidR="00000000" w:rsidRPr="00A62ECE" w:rsidRDefault="00D11DB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Intelligente IoT-Systeme, Automobilelektronik für V2X und autonomes Ökosystem</w:t>
      </w:r>
    </w:p>
    <w:p w:rsidR="00000000" w:rsidRPr="00A62ECE" w:rsidRDefault="00D11DB5">
      <w:pPr>
        <w:spacing w:after="24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 xml:space="preserve">Taiwanische Firmen wie TSMC und MediaTek </w:t>
      </w:r>
      <w:proofErr w:type="gramStart"/>
      <w:r w:rsidRPr="00A62ECE">
        <w:rPr>
          <w:rFonts w:asciiTheme="minorHAnsi" w:hAnsiTheme="minorHAnsi" w:cstheme="minorHAnsi"/>
          <w:lang/>
        </w:rPr>
        <w:t>sind</w:t>
      </w:r>
      <w:proofErr w:type="gramEnd"/>
      <w:r w:rsidRPr="00A62ECE">
        <w:rPr>
          <w:rFonts w:asciiTheme="minorHAnsi" w:hAnsiTheme="minorHAnsi" w:cstheme="minorHAnsi"/>
          <w:lang/>
        </w:rPr>
        <w:t xml:space="preserve"> weltweit führend in der Herstellu</w:t>
      </w:r>
      <w:r w:rsidRPr="00A62ECE">
        <w:rPr>
          <w:rFonts w:asciiTheme="minorHAnsi" w:hAnsiTheme="minorHAnsi" w:cstheme="minorHAnsi"/>
          <w:lang/>
        </w:rPr>
        <w:t>ng von Informations- und Kommunikationstechnologie, die für die Fahrzeugentwicklung und autonome Fahrtechnologie von entscheidender Bedeutung ist. Inzwischen arbeitet Foxconn mit der Yulon Automotive Group zusammen, um MIH einzuführen, eine offene EV-Platt</w:t>
      </w:r>
      <w:r w:rsidRPr="00A62ECE">
        <w:rPr>
          <w:rFonts w:asciiTheme="minorHAnsi" w:hAnsiTheme="minorHAnsi" w:cstheme="minorHAnsi"/>
          <w:lang/>
        </w:rPr>
        <w:t>form für das "Android-System der EV-Branche".</w:t>
      </w:r>
    </w:p>
    <w:p w:rsidR="00000000" w:rsidRPr="00A62ECE" w:rsidRDefault="00D11DB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 xml:space="preserve">Multimodales </w:t>
      </w:r>
      <w:proofErr w:type="gramStart"/>
      <w:r w:rsidRPr="00A62ECE">
        <w:rPr>
          <w:rFonts w:asciiTheme="minorHAnsi" w:hAnsiTheme="minorHAnsi" w:cstheme="minorHAnsi"/>
          <w:lang/>
        </w:rPr>
        <w:t>MaaS</w:t>
      </w:r>
      <w:proofErr w:type="gramEnd"/>
      <w:r w:rsidRPr="00A62ECE">
        <w:rPr>
          <w:rFonts w:asciiTheme="minorHAnsi" w:hAnsiTheme="minorHAnsi" w:cstheme="minorHAnsi"/>
          <w:lang/>
        </w:rPr>
        <w:t xml:space="preserve"> für Datenerfassung, integrierte Verkehrsinformationen, Car-Sharing</w:t>
      </w:r>
    </w:p>
    <w:p w:rsidR="00000000" w:rsidRPr="00A62ECE" w:rsidRDefault="00D11DB5">
      <w:pPr>
        <w:spacing w:after="24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 xml:space="preserve">Angesichts seines beträchtlichen Vorsprungs in der 5G- und IoT-Entwicklung </w:t>
      </w:r>
      <w:proofErr w:type="gramStart"/>
      <w:r w:rsidRPr="00A62ECE">
        <w:rPr>
          <w:rFonts w:asciiTheme="minorHAnsi" w:hAnsiTheme="minorHAnsi" w:cstheme="minorHAnsi"/>
          <w:lang/>
        </w:rPr>
        <w:t>als</w:t>
      </w:r>
      <w:proofErr w:type="gramEnd"/>
      <w:r w:rsidRPr="00A62ECE">
        <w:rPr>
          <w:rFonts w:asciiTheme="minorHAnsi" w:hAnsiTheme="minorHAnsi" w:cstheme="minorHAnsi"/>
          <w:lang/>
        </w:rPr>
        <w:t xml:space="preserve"> globaler Technologiestandort treibt Taiwan d</w:t>
      </w:r>
      <w:r w:rsidRPr="00A62ECE">
        <w:rPr>
          <w:rFonts w:asciiTheme="minorHAnsi" w:hAnsiTheme="minorHAnsi" w:cstheme="minorHAnsi"/>
          <w:lang/>
        </w:rPr>
        <w:t xml:space="preserve">ie Entwicklung von Mobility-as-a-Service (MaaS) voran. </w:t>
      </w:r>
      <w:proofErr w:type="gramStart"/>
      <w:r w:rsidRPr="00A62ECE">
        <w:rPr>
          <w:rFonts w:asciiTheme="minorHAnsi" w:hAnsiTheme="minorHAnsi" w:cstheme="minorHAnsi"/>
          <w:lang/>
        </w:rPr>
        <w:t>Mit Unterstützung der Regierung werden zwei MaaS-Demonstrationsprojekte in den Metropolregionen Taipeh und Kaohsiung entwickelt.</w:t>
      </w:r>
      <w:proofErr w:type="gramEnd"/>
    </w:p>
    <w:p w:rsidR="00000000" w:rsidRPr="00A62ECE" w:rsidRDefault="00D11DB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Registrierungsinformationen zur virtuellen Veranstaltung</w:t>
      </w:r>
    </w:p>
    <w:p w:rsidR="00000000" w:rsidRPr="00A62ECE" w:rsidRDefault="00D11DB5">
      <w:pPr>
        <w:spacing w:after="24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>Diese virtuel</w:t>
      </w:r>
      <w:r w:rsidRPr="00A62ECE">
        <w:rPr>
          <w:rFonts w:asciiTheme="minorHAnsi" w:hAnsiTheme="minorHAnsi" w:cstheme="minorHAnsi"/>
          <w:lang/>
        </w:rPr>
        <w:t xml:space="preserve">le Veranstaltung beginnt am 8. </w:t>
      </w:r>
      <w:proofErr w:type="gramStart"/>
      <w:r w:rsidRPr="00A62ECE">
        <w:rPr>
          <w:rFonts w:asciiTheme="minorHAnsi" w:hAnsiTheme="minorHAnsi" w:cstheme="minorHAnsi"/>
          <w:lang/>
        </w:rPr>
        <w:t>Juli 2021 und wird von Taiwans Außenhandelsbüro und dem Taiwan External Trade Development Council (TAITRA) organisiert.</w:t>
      </w:r>
      <w:proofErr w:type="gramEnd"/>
      <w:r w:rsidRPr="00A62ECE">
        <w:rPr>
          <w:rFonts w:asciiTheme="minorHAnsi" w:hAnsiTheme="minorHAnsi" w:cstheme="minorHAnsi"/>
          <w:lang/>
        </w:rPr>
        <w:br/>
      </w:r>
      <w:r w:rsidRPr="00A62ECE">
        <w:rPr>
          <w:rFonts w:asciiTheme="minorHAnsi" w:hAnsiTheme="minorHAnsi" w:cstheme="minorHAnsi"/>
          <w:lang/>
        </w:rPr>
        <w:br/>
        <w:t xml:space="preserve">Registrieren Sie sich jetzt für die </w:t>
      </w:r>
      <w:r w:rsidRPr="00A62ECE">
        <w:rPr>
          <w:rFonts w:asciiTheme="minorHAnsi" w:hAnsiTheme="minorHAnsi" w:cstheme="minorHAnsi"/>
          <w:i/>
          <w:iCs/>
          <w:lang/>
        </w:rPr>
        <w:t>Sourcing Taiwan Online 2021</w:t>
      </w:r>
      <w:r w:rsidRPr="00A62ECE">
        <w:rPr>
          <w:rFonts w:asciiTheme="minorHAnsi" w:hAnsiTheme="minorHAnsi" w:cstheme="minorHAnsi"/>
          <w:lang/>
        </w:rPr>
        <w:t xml:space="preserve">: </w:t>
      </w:r>
      <w:hyperlink r:id="rId6" w:tgtFrame="_blank" w:history="1">
        <w:r w:rsidRPr="00A62ECE">
          <w:rPr>
            <w:rStyle w:val="a3"/>
            <w:rFonts w:asciiTheme="minorHAnsi" w:hAnsiTheme="minorHAnsi" w:cstheme="minorHAnsi"/>
            <w:lang/>
          </w:rPr>
          <w:t>https://taitra.surveycake.biz/s/DVLdY</w:t>
        </w:r>
      </w:hyperlink>
    </w:p>
    <w:p w:rsidR="00000000" w:rsidRPr="00A62ECE" w:rsidRDefault="00D11DB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lastRenderedPageBreak/>
        <w:t>Über TAITRA</w:t>
      </w:r>
    </w:p>
    <w:p w:rsidR="00D11DB5" w:rsidRPr="00A62ECE" w:rsidRDefault="00D11DB5">
      <w:pPr>
        <w:rPr>
          <w:rFonts w:asciiTheme="minorHAnsi" w:hAnsiTheme="minorHAnsi" w:cstheme="minorHAnsi"/>
          <w:lang/>
        </w:rPr>
      </w:pPr>
      <w:r w:rsidRPr="00A62ECE">
        <w:rPr>
          <w:rFonts w:asciiTheme="minorHAnsi" w:hAnsiTheme="minorHAnsi" w:cstheme="minorHAnsi"/>
          <w:lang/>
        </w:rPr>
        <w:t xml:space="preserve">TAITRA </w:t>
      </w:r>
      <w:proofErr w:type="gramStart"/>
      <w:r w:rsidRPr="00A62ECE">
        <w:rPr>
          <w:rFonts w:asciiTheme="minorHAnsi" w:hAnsiTheme="minorHAnsi" w:cstheme="minorHAnsi"/>
          <w:lang/>
        </w:rPr>
        <w:t>ist</w:t>
      </w:r>
      <w:proofErr w:type="gramEnd"/>
      <w:r w:rsidRPr="00A62ECE">
        <w:rPr>
          <w:rFonts w:asciiTheme="minorHAnsi" w:hAnsiTheme="minorHAnsi" w:cstheme="minorHAnsi"/>
          <w:lang/>
        </w:rPr>
        <w:t xml:space="preserve"> Taiwans führende gemeinnützige Handelsförderungsorganisation. </w:t>
      </w:r>
      <w:proofErr w:type="gramStart"/>
      <w:r w:rsidRPr="00A62ECE">
        <w:rPr>
          <w:rFonts w:asciiTheme="minorHAnsi" w:hAnsiTheme="minorHAnsi" w:cstheme="minorHAnsi"/>
          <w:lang/>
        </w:rPr>
        <w:t>TAITRA wird von der Regierung und Industrieorganisationen gesponsert und hilft Unternehmen, ihre globale</w:t>
      </w:r>
      <w:r w:rsidRPr="00A62ECE">
        <w:rPr>
          <w:rFonts w:asciiTheme="minorHAnsi" w:hAnsiTheme="minorHAnsi" w:cstheme="minorHAnsi"/>
          <w:lang/>
        </w:rPr>
        <w:t xml:space="preserve"> Reichweite zu erweitern.</w:t>
      </w:r>
      <w:proofErr w:type="gramEnd"/>
      <w:r w:rsidRPr="00A62ECE">
        <w:rPr>
          <w:rFonts w:asciiTheme="minorHAnsi" w:hAnsiTheme="minorHAnsi" w:cstheme="minorHAnsi"/>
          <w:lang/>
        </w:rPr>
        <w:t xml:space="preserve"> </w:t>
      </w:r>
      <w:proofErr w:type="gramStart"/>
      <w:r w:rsidRPr="00A62ECE">
        <w:rPr>
          <w:rFonts w:asciiTheme="minorHAnsi" w:hAnsiTheme="minorHAnsi" w:cstheme="minorHAnsi"/>
          <w:lang/>
        </w:rPr>
        <w:t>TAITRA hat seinen Hauptsitz in Taipeh und wurde 1970 gegründet.</w:t>
      </w:r>
      <w:proofErr w:type="gramEnd"/>
      <w:r w:rsidRPr="00A62ECE">
        <w:rPr>
          <w:rFonts w:asciiTheme="minorHAnsi" w:hAnsiTheme="minorHAnsi" w:cstheme="minorHAnsi"/>
          <w:lang/>
        </w:rPr>
        <w:t xml:space="preserve"> TAITRA verfügt über ein Team von 1300 Spezialisten und 5 lokale Niederlassungen in Taoyuan, Hsinchu, Taichung, Tainan und Kaohsiung sowie 64 Niederlassungen weltweit.</w:t>
      </w:r>
      <w:r w:rsidRPr="00A62ECE">
        <w:rPr>
          <w:rFonts w:asciiTheme="minorHAnsi" w:hAnsiTheme="minorHAnsi" w:cstheme="minorHAnsi"/>
          <w:lang/>
        </w:rPr>
        <w:t xml:space="preserve"> </w:t>
      </w:r>
      <w:proofErr w:type="gramStart"/>
      <w:r w:rsidRPr="00A62ECE">
        <w:rPr>
          <w:rFonts w:asciiTheme="minorHAnsi" w:hAnsiTheme="minorHAnsi" w:cstheme="minorHAnsi"/>
          <w:lang/>
        </w:rPr>
        <w:t>Zusammen mit dem Taipei World Trade Center (TWTC) und dem Taiwan Trade Center (TTC) bildet TAITRA ein globales Netzwerk zur Förderung des Welthandels.</w:t>
      </w:r>
      <w:proofErr w:type="gramEnd"/>
    </w:p>
    <w:sectPr w:rsidR="00D11DB5" w:rsidRPr="00A62EC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B5" w:rsidRDefault="00D11DB5" w:rsidP="00A62ECE">
      <w:r>
        <w:separator/>
      </w:r>
    </w:p>
  </w:endnote>
  <w:endnote w:type="continuationSeparator" w:id="0">
    <w:p w:rsidR="00D11DB5" w:rsidRDefault="00D11DB5" w:rsidP="00A6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B5" w:rsidRDefault="00D11DB5" w:rsidP="00A62ECE">
      <w:r>
        <w:separator/>
      </w:r>
    </w:p>
  </w:footnote>
  <w:footnote w:type="continuationSeparator" w:id="0">
    <w:p w:rsidR="00D11DB5" w:rsidRDefault="00D11DB5" w:rsidP="00A62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2ECE"/>
    <w:rsid w:val="00A62ECE"/>
    <w:rsid w:val="00D1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62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2EC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62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2EC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tra.surveycake.biz/s/DVL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Kostenlose EV-Sourcing-Veranstaltung mit Taiwans führenden Lieferanten aus der Lieferkette für intelligente Fahrzeuge</dc:title>
  <dc:creator>Sandy</dc:creator>
  <cp:lastModifiedBy>Sandy</cp:lastModifiedBy>
  <cp:revision>2</cp:revision>
  <dcterms:created xsi:type="dcterms:W3CDTF">2021-06-14T03:30:00Z</dcterms:created>
  <dcterms:modified xsi:type="dcterms:W3CDTF">2021-06-14T03:30:00Z</dcterms:modified>
</cp:coreProperties>
</file>